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before="120" w:after="0" w:line="240" w:lineRule="auto"/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9063785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3" t="29751" r="6239" b="25504"/>
                        <a:stretch/>
                      </pic:blipFill>
                      <pic:spPr bwMode="auto">
                        <a:xfrm>
                          <a:off x="0" y="0"/>
                          <a:ext cx="6480171" cy="118744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</w:p>
    <w:p>
      <w:pPr>
        <w:pStyle w:val="1161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«УТВЕРЖДАЮ»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Председатель закупочной комиссии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АО «ДГК» 1 уровня-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 Заместитель Генерального директора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по управлению ресурсами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</w:p>
    <w:p>
      <w:pPr>
        <w:pStyle w:val="1161"/>
        <w:jc w:val="center"/>
        <w:spacing w:before="0"/>
        <w:widowControl w:val="off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_________________ Д. А. Богонатов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pStyle w:val="1119"/>
        <w:ind w:left="4536"/>
        <w:keepNext/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               «___» _________________ 2026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год</w:t>
      </w:r>
      <w:r/>
    </w:p>
    <w:p>
      <w:pPr>
        <w:pStyle w:val="1119"/>
      </w:pPr>
      <w:r/>
      <w:r/>
    </w:p>
    <w:p>
      <w:pPr>
        <w:pStyle w:val="1119"/>
      </w:pPr>
      <w:r/>
      <w:r/>
    </w:p>
    <w:p>
      <w:pPr>
        <w:pStyle w:val="1119"/>
      </w:pPr>
      <w:r/>
      <w:r/>
    </w:p>
    <w:p>
      <w:pPr>
        <w:pStyle w:val="1119"/>
      </w:pPr>
      <w:r/>
      <w:r/>
    </w:p>
    <w:p>
      <w:pPr>
        <w:pStyle w:val="1119"/>
      </w:pPr>
      <w:r/>
      <w:r/>
    </w:p>
    <w:p>
      <w:pPr>
        <w:pStyle w:val="1119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9"/>
        <w:jc w:val="center"/>
        <w:keepNext/>
        <w:spacing w:before="0" w:beforeAutospacing="0"/>
      </w:pPr>
      <w:r>
        <w:rPr>
          <w:sz w:val="26"/>
          <w:szCs w:val="26"/>
        </w:rPr>
        <w:t xml:space="preserve">Аукцион</w:t>
      </w:r>
      <w:r>
        <w:rPr>
          <w:sz w:val="26"/>
          <w:szCs w:val="26"/>
        </w:rPr>
        <w:t xml:space="preserve"> в электронной форме,</w:t>
      </w:r>
      <w:r>
        <w:rPr>
          <w:sz w:val="26"/>
          <w:szCs w:val="26"/>
        </w:rPr>
        <w:br/>
        <w:t xml:space="preserve">участниками которого могут быть только субъекты МСП,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на право заключения договора на</w:t>
      </w:r>
      <w:r>
        <w:rPr>
          <w:sz w:val="26"/>
          <w:szCs w:val="26"/>
        </w:rPr>
        <w:t xml:space="preserve"> (</w:t>
      </w:r>
      <w:r>
        <w:rPr>
          <w:rFonts w:ascii="Times New Roman" w:hAnsi="Times New Roman"/>
          <w:sz w:val="26"/>
          <w:szCs w:val="26"/>
        </w:rPr>
        <w:t xml:space="preserve">ОКПД2 29.32.30) поставку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</w:r>
      <w:r>
        <w:rPr>
          <w:sz w:val="26"/>
          <w:szCs w:val="26"/>
        </w:rPr>
        <w:t xml:space="preserve"> </w:t>
      </w:r>
      <w:r>
        <w:t xml:space="preserve"> </w:t>
      </w:r>
      <w:r>
        <w:rPr>
          <w:rStyle w:val="1124"/>
        </w:rPr>
      </w:r>
      <w:r/>
    </w:p>
    <w:p>
      <w:pPr>
        <w:pStyle w:val="1119"/>
        <w:jc w:val="center"/>
        <w:keepNext/>
        <w:spacing w:before="240"/>
        <w:rPr>
          <w:rStyle w:val="1124"/>
        </w:rPr>
      </w:pPr>
      <w:r>
        <w:t xml:space="preserve">(</w:t>
      </w:r>
      <w:r>
        <w:t xml:space="preserve">Л</w:t>
      </w:r>
      <w:r>
        <w:t xml:space="preserve">от № 12016060</w:t>
      </w:r>
      <w:r>
        <w:t xml:space="preserve">-РЕМ ПРОД-2026-ДГК</w:t>
      </w:r>
      <w:r>
        <w:rPr>
          <w:rFonts w:eastAsia="Calibri"/>
          <w:b w:val="0"/>
          <w:bCs w:val="0"/>
          <w:sz w:val="24"/>
          <w:szCs w:val="24"/>
        </w:rPr>
        <w:t xml:space="preserve">)</w:t>
      </w:r>
      <w:r>
        <w:rPr>
          <w:rStyle w:val="1124"/>
        </w:rPr>
      </w:r>
      <w:r>
        <w:rPr>
          <w:rStyle w:val="1124"/>
        </w:rPr>
      </w:r>
    </w:p>
    <w:p>
      <w:pPr>
        <w:pStyle w:val="1119"/>
        <w:jc w:val="center"/>
        <w:keepNext/>
        <w:spacing w:before="240"/>
        <w:rPr>
          <w:rStyle w:val="1124"/>
        </w:rPr>
      </w:pPr>
      <w:r>
        <w:rPr>
          <w:rStyle w:val="1124"/>
        </w:rPr>
      </w:r>
      <w:r>
        <w:rPr>
          <w:rStyle w:val="1124"/>
        </w:rPr>
      </w:r>
      <w:r>
        <w:rPr>
          <w:rStyle w:val="1124"/>
        </w:rPr>
      </w:r>
    </w:p>
    <w:p>
      <w:pPr>
        <w:pStyle w:val="1118"/>
        <w:outlineLvl w:val="2"/>
      </w:pPr>
      <w:r>
        <w:t xml:space="preserve">Содержание</w:t>
      </w:r>
      <w:r/>
    </w:p>
    <w:p>
      <w:pPr>
        <w:pStyle w:val="1132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9"/>
          </w:rPr>
        </w:r>
        <w:r>
          <w:rPr>
            <w:rStyle w:val="1129"/>
          </w:rPr>
          <w:t xml:space="preserve">Сокращения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32"/>
        <w:tabs>
          <w:tab w:val="right" w:pos="9923" w:leader="none"/>
        </w:tabs>
      </w:pPr>
      <w:r/>
      <w:hyperlink w:tooltip="#_Toc2" w:anchor="_Toc2" w:history="1">
        <w:r>
          <w:rPr>
            <w:rStyle w:val="1129"/>
          </w:rPr>
        </w:r>
        <w:r>
          <w:rPr>
            <w:rStyle w:val="1129"/>
          </w:rPr>
          <w:t xml:space="preserve">Термины и определения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Основные сведения о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Статус настоящего раздела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Информация о проводимой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Общие положения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Общие сведения о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Правовой статус документов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Обжалование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Особые положения при проведении закупки с использованием ЭП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Прочие положения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Требования к </w:t>
        </w:r>
        <w:r>
          <w:rPr>
            <w:rStyle w:val="1129"/>
          </w:rPr>
          <w:t xml:space="preserve">У</w:t>
        </w:r>
        <w:r>
          <w:rPr>
            <w:rStyle w:val="1129"/>
          </w:rPr>
          <w:t xml:space="preserve">частникам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20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Общие требования к Участникам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20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Коллективные участники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20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Генеральные подрядчики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22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Порядок проведения закупки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24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Общий порядок проведения закупки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24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Официальное размещение Извещения и Документации о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26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Подготовка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Разъяснение Документации о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Изменения </w:t>
        </w:r>
        <w:r>
          <w:rPr>
            <w:rStyle w:val="1129"/>
          </w:rPr>
          <w:t xml:space="preserve">Извещени</w:t>
        </w:r>
        <w:r>
          <w:rPr>
            <w:rStyle w:val="1129"/>
          </w:rPr>
          <w:t xml:space="preserve">я</w:t>
        </w:r>
        <w:r>
          <w:rPr>
            <w:rStyle w:val="1129"/>
          </w:rPr>
          <w:t xml:space="preserve"> </w:t>
        </w:r>
        <w:r>
          <w:rPr>
            <w:rStyle w:val="1129"/>
          </w:rPr>
          <w:t xml:space="preserve">и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(или)</w:t>
        </w:r>
        <w:r>
          <w:rPr>
            <w:rStyle w:val="1129"/>
          </w:rPr>
          <w:t xml:space="preserve"> </w:t>
        </w:r>
        <w:r>
          <w:rPr>
            <w:rStyle w:val="1129"/>
          </w:rPr>
          <w:t xml:space="preserve">Документаци</w:t>
        </w:r>
        <w:r>
          <w:rPr>
            <w:rStyle w:val="1129"/>
          </w:rPr>
          <w:t xml:space="preserve">и</w:t>
        </w:r>
        <w:r>
          <w:rPr>
            <w:rStyle w:val="1129"/>
          </w:rPr>
          <w:t xml:space="preserve"> о закупке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Подача заявок и их прием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Изменение и отзыв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Открытие доступа к первым частям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Рассмотрение </w:t>
        </w:r>
        <w:r>
          <w:rPr>
            <w:rStyle w:val="1129"/>
          </w:rPr>
          <w:t xml:space="preserve">первых частей </w:t>
        </w:r>
        <w:r>
          <w:rPr>
            <w:rStyle w:val="1129"/>
          </w:rPr>
          <w:t xml:space="preserve">заявок</w:t>
        </w:r>
        <w:r>
          <w:rPr>
            <w:rStyle w:val="1129"/>
          </w:rPr>
          <w:t xml:space="preserve"> </w:t>
        </w:r>
        <w:r>
          <w:rPr>
            <w:rStyle w:val="1129"/>
          </w:rPr>
          <w:t xml:space="preserve">(</w:t>
        </w:r>
        <w:r>
          <w:rPr>
            <w:rStyle w:val="1129"/>
          </w:rPr>
          <w:t xml:space="preserve">отборочная стадия</w:t>
        </w:r>
        <w:r>
          <w:rPr>
            <w:rStyle w:val="1129"/>
          </w:rPr>
          <w:t xml:space="preserve">)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Проведение аукциона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Открытие доступа ко вторым частям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Рассмотрение вторых частей заявок</w:t>
        </w:r>
        <w:r>
          <w:rPr>
            <w:rStyle w:val="1129"/>
          </w:rPr>
          <w:t xml:space="preserve"> (отборочная стадия)</w:t>
        </w:r>
        <w:r>
          <w:rPr>
            <w:rStyle w:val="1129"/>
          </w:rPr>
          <w:t xml:space="preserve">, в том числе (при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необходимости) проведение аккредитации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34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Открытие доступа к ценовым предложениям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36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Рассмотрение ценовых предложений (отборочная стадия)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Дополнительные запросы разъяснений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Оценка и сопоставление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Применение </w:t>
        </w:r>
        <w:r>
          <w:rPr>
            <w:rStyle w:val="1129"/>
          </w:rPr>
          <w:t xml:space="preserve">законодательства о национальном режиме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39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Подведение итогов закупки (определение Победителя)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Признание закупки несостоявшейся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Отказ от проведения закупки</w:t>
        </w:r>
        <w:r>
          <w:rPr>
            <w:rStyle w:val="1129"/>
          </w:rPr>
          <w:t xml:space="preserve"> (отмена закупки)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42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Особенности</w:t>
        </w:r>
        <w:r>
          <w:rPr>
            <w:rStyle w:val="1129"/>
          </w:rPr>
          <w:t xml:space="preserve"> проведения закупки с необходимостью обеспечения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Особенности проведения м</w:t>
        </w:r>
        <w:r>
          <w:rPr>
            <w:rStyle w:val="1129"/>
          </w:rPr>
          <w:t xml:space="preserve">ноголотов</w:t>
        </w:r>
        <w:r>
          <w:rPr>
            <w:rStyle w:val="1129"/>
          </w:rPr>
          <w:t xml:space="preserve">ой</w:t>
        </w:r>
        <w:r>
          <w:rPr>
            <w:rStyle w:val="1129"/>
          </w:rPr>
          <w:t xml:space="preserve"> закупк</w:t>
        </w:r>
        <w:r>
          <w:rPr>
            <w:rStyle w:val="1129"/>
          </w:rPr>
          <w:t xml:space="preserve">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45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</w:t>
        </w:r>
        <w:r>
          <w:rPr>
            <w:rStyle w:val="1129"/>
          </w:rPr>
          <w:t xml:space="preserve">орядок заключения </w:t>
        </w:r>
        <w:r>
          <w:rPr>
            <w:rStyle w:val="1129"/>
          </w:rPr>
          <w:t xml:space="preserve">Д</w:t>
        </w:r>
        <w:r>
          <w:rPr>
            <w:rStyle w:val="1129"/>
          </w:rPr>
          <w:t xml:space="preserve">оговора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Общие положения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Заключение Договора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47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Уклонение Победителя от заключения Договора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49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1 – Технические требования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51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Техническим требованиям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51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2 – Проект договора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52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</w:t>
        </w:r>
        <w:r>
          <w:rPr>
            <w:rStyle w:val="1129"/>
          </w:rPr>
          <w:t xml:space="preserve">П</w:t>
        </w:r>
        <w:r>
          <w:rPr>
            <w:rStyle w:val="1129"/>
          </w:rPr>
          <w:t xml:space="preserve">роекту договора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52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3 – Требования к </w:t>
        </w:r>
        <w:r>
          <w:rPr>
            <w:rStyle w:val="1129"/>
          </w:rPr>
          <w:t xml:space="preserve">У</w:t>
        </w:r>
        <w:r>
          <w:rPr>
            <w:rStyle w:val="1129"/>
          </w:rPr>
          <w:t xml:space="preserve">частникам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53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</w:t>
        </w:r>
        <w:r>
          <w:rPr>
            <w:rStyle w:val="1129"/>
          </w:rPr>
          <w:t xml:space="preserve">требованиям к </w:t>
        </w:r>
        <w:r>
          <w:rPr>
            <w:rStyle w:val="1129"/>
          </w:rPr>
          <w:t xml:space="preserve">У</w:t>
        </w:r>
        <w:r>
          <w:rPr>
            <w:rStyle w:val="1129"/>
          </w:rPr>
          <w:t xml:space="preserve">частникам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53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Обязательные требования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Специальные требования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56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Дополнительные т</w:t>
        </w:r>
        <w:r>
          <w:rPr>
            <w:rStyle w:val="1129"/>
          </w:rPr>
          <w:t xml:space="preserve">ребования к Коллективным участникам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56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8.5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Дополнительные т</w:t>
        </w:r>
        <w:r>
          <w:rPr>
            <w:rStyle w:val="1129"/>
          </w:rPr>
          <w:t xml:space="preserve">ребования к Генеральным подрядчикам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57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</w:t>
        </w:r>
        <w:r>
          <w:rPr>
            <w:rStyle w:val="1129"/>
          </w:rPr>
          <w:t xml:space="preserve">4</w:t>
        </w:r>
        <w:r>
          <w:rPr>
            <w:rStyle w:val="1129"/>
          </w:rPr>
          <w:t xml:space="preserve"> </w:t>
        </w:r>
        <w:r>
          <w:rPr>
            <w:rStyle w:val="1129"/>
          </w:rPr>
          <w:t xml:space="preserve">– </w:t>
        </w:r>
        <w:r>
          <w:rPr>
            <w:rStyle w:val="1129"/>
          </w:rPr>
          <w:t xml:space="preserve">Образцы форм документов, включаемых в состав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59</w:t>
          <w:fldChar w:fldCharType="end"/>
        </w:r>
      </w:hyperlink>
      <w:r/>
      <w:r/>
    </w:p>
    <w:p>
      <w:pPr>
        <w:pStyle w:val="1131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Образца</w:t>
        </w:r>
        <w:r>
          <w:rPr>
            <w:rStyle w:val="1129"/>
          </w:rPr>
          <w:t xml:space="preserve">м</w:t>
        </w:r>
        <w:r>
          <w:rPr>
            <w:rStyle w:val="1129"/>
          </w:rPr>
          <w:t xml:space="preserve"> форм документов, включаемых в состав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59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5 </w:t>
        </w:r>
        <w:r>
          <w:rPr>
            <w:rStyle w:val="1129"/>
          </w:rPr>
          <w:t xml:space="preserve">– </w:t>
        </w:r>
        <w:r>
          <w:rPr>
            <w:rStyle w:val="1129"/>
          </w:rPr>
          <w:t xml:space="preserve">Образцы форм документов, предоставляемых Победителем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60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Образцам форм документов, предоставляемых Победителем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60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60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Форма «Заверение об обстоятельствах»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60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6</w:t>
        </w:r>
        <w:r>
          <w:rPr>
            <w:rStyle w:val="1129"/>
          </w:rPr>
          <w:t xml:space="preserve"> – Состав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Состав заявки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62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7</w:t>
        </w:r>
        <w:r>
          <w:rPr>
            <w:rStyle w:val="1129"/>
          </w:rPr>
          <w:t xml:space="preserve"> – Отборочные критерии рассмотрения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64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  <w:rPr>
          <w:rStyle w:val="1124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9"/>
          </w:rPr>
        </w:r>
        <w:r>
          <w:rPr>
            <w:rStyle w:val="1129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9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9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64</w:t>
          <w:fldChar w:fldCharType="end"/>
        </w:r>
      </w:hyperlink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31"/>
        <w:tabs>
          <w:tab w:val="left" w:pos="850" w:leader="none"/>
          <w:tab w:val="right" w:pos="9923" w:leader="none"/>
        </w:tabs>
        <w:rPr>
          <w:rStyle w:val="1124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9"/>
          </w:rPr>
        </w:r>
        <w:r>
          <w:rPr>
            <w:rStyle w:val="1129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65</w:t>
          <w:fldChar w:fldCharType="end"/>
        </w:r>
      </w:hyperlink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31"/>
        <w:tabs>
          <w:tab w:val="left" w:pos="850" w:leader="none"/>
          <w:tab w:val="right" w:pos="9923" w:leader="none"/>
        </w:tabs>
        <w:rPr>
          <w:rStyle w:val="1124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9"/>
          </w:rPr>
        </w:r>
        <w:r>
          <w:rPr>
            <w:rStyle w:val="1129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68</w:t>
          <w:fldChar w:fldCharType="end"/>
        </w:r>
      </w:hyperlink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31"/>
        <w:tabs>
          <w:tab w:val="left" w:pos="850" w:leader="none"/>
          <w:tab w:val="right" w:pos="9923" w:leader="none"/>
        </w:tabs>
        <w:rPr>
          <w:rStyle w:val="1124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9"/>
          </w:rPr>
        </w:r>
        <w:r>
          <w:rPr>
            <w:rStyle w:val="1129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9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9"/>
            <w:i w:val="0"/>
            <w:iCs w:val="0"/>
            <w:shd w:val="clear" w:color="auto" w:fill="auto"/>
          </w:rPr>
          <w:t xml:space="preserve">ок</w:t>
        </w:r>
        <w:r>
          <w:rPr>
            <w:rStyle w:val="1129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9"/>
            <w:i w:val="0"/>
            <w:iCs w:val="0"/>
            <w:shd w:val="clear" w:color="auto" w:fill="auto"/>
          </w:rPr>
          <w:t xml:space="preserve">е</w:t>
        </w:r>
        <w:r>
          <w:rPr>
            <w:rStyle w:val="1129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69</w:t>
          <w:fldChar w:fldCharType="end"/>
        </w:r>
      </w:hyperlink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</w:t>
        </w:r>
        <w:r>
          <w:rPr>
            <w:rStyle w:val="1129"/>
          </w:rPr>
          <w:t xml:space="preserve"> </w:t>
        </w:r>
        <w:r>
          <w:rPr>
            <w:rStyle w:val="1129"/>
          </w:rPr>
          <w:t xml:space="preserve">8</w:t>
        </w:r>
        <w:r>
          <w:rPr>
            <w:rStyle w:val="1129"/>
          </w:rPr>
          <w:t xml:space="preserve"> – Порядок и критерии оценки и сопоставления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72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Порядок и критерии оценки и сопоставления заявок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72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</w:t>
        </w:r>
        <w:r>
          <w:rPr>
            <w:rStyle w:val="1129"/>
          </w:rPr>
          <w:t xml:space="preserve">9</w:t>
        </w:r>
        <w:r>
          <w:rPr>
            <w:rStyle w:val="1129"/>
          </w:rPr>
          <w:t xml:space="preserve"> – Обоснование НМЦ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73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Обоснованию НМЦ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73</w:t>
          <w:fldChar w:fldCharType="end"/>
        </w:r>
      </w:hyperlink>
      <w:r/>
      <w:r/>
    </w:p>
    <w:p>
      <w:pPr>
        <w:pStyle w:val="1132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Приложение № 1</w:t>
        </w:r>
        <w:r>
          <w:rPr>
            <w:rStyle w:val="1129"/>
          </w:rPr>
          <w:t xml:space="preserve">0</w:t>
        </w:r>
        <w:r>
          <w:rPr>
            <w:rStyle w:val="1129"/>
          </w:rPr>
          <w:t xml:space="preserve"> – Форма Заявки на аккредитацию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74</w:t>
          <w:fldChar w:fldCharType="end"/>
        </w:r>
      </w:hyperlink>
      <w:r/>
      <w:r/>
    </w:p>
    <w:p>
      <w:pPr>
        <w:pStyle w:val="1131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9"/>
          </w:rPr>
        </w:r>
        <w:r>
          <w:rPr>
            <w:rStyle w:val="1129"/>
          </w:rPr>
          <w:t xml:space="preserve">Пояснения к форме Заявки на аккредитацию</w:t>
        </w:r>
        <w:r>
          <w:rPr>
            <w:rStyle w:val="1129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74</w:t>
          <w:fldChar w:fldCharType="end"/>
        </w:r>
      </w:hyperlink>
      <w:r/>
      <w:r/>
    </w:p>
    <w:p>
      <w:pPr>
        <w:pStyle w:val="1119"/>
      </w:pPr>
      <w:r>
        <w:fldChar w:fldCharType="end"/>
      </w:r>
      <w:r/>
    </w:p>
    <w:p>
      <w:pPr>
        <w:pStyle w:val="1119"/>
        <w:keepNext/>
        <w:spacing w:before="60"/>
        <w:rPr>
          <w:rStyle w:val="1150"/>
        </w:rPr>
      </w:pPr>
      <w:r>
        <w:rPr>
          <w:rStyle w:val="1150"/>
        </w:rPr>
        <w:t xml:space="preserve">[Примечание (дополнительные удобства работы с Документацией о закупке; </w:t>
      </w:r>
      <w:r>
        <w:rPr>
          <w:rStyle w:val="1150"/>
        </w:rPr>
        <w:t xml:space="preserve">Microsoft Word | </w:t>
      </w:r>
      <w:r>
        <w:rPr>
          <w:rStyle w:val="1150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50"/>
        </w:rPr>
        <w:t xml:space="preserve">):</w:t>
      </w:r>
      <w:r>
        <w:rPr>
          <w:rStyle w:val="1150"/>
        </w:rPr>
      </w:r>
      <w:r>
        <w:rPr>
          <w:rStyle w:val="1150"/>
        </w:rPr>
      </w:r>
    </w:p>
    <w:p>
      <w:pPr>
        <w:pStyle w:val="1119"/>
        <w:numPr>
          <w:ilvl w:val="0"/>
          <w:numId w:val="13"/>
        </w:numPr>
        <w:ind w:left="284" w:hanging="284"/>
        <w:spacing w:before="60"/>
        <w:rPr>
          <w:rStyle w:val="1150"/>
        </w:rPr>
      </w:pPr>
      <w:r>
        <w:rPr>
          <w:rStyle w:val="1150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50"/>
        </w:rPr>
        <w:t xml:space="preserve"> </w:t>
      </w:r>
      <w:r>
        <w:rPr>
          <w:rStyle w:val="1150"/>
        </w:rPr>
        <w:t xml:space="preserve">| </w:t>
      </w:r>
      <w:r>
        <w:rPr>
          <w:rStyle w:val="1150"/>
          <w:color w:val="4472c4" w:themeColor="accent1"/>
        </w:rPr>
        <w:t xml:space="preserve">включается на вкладке «Вид» опцией «Навигатор»</w:t>
      </w:r>
      <w:r>
        <w:rPr>
          <w:rStyle w:val="1150"/>
        </w:rPr>
        <w:t xml:space="preserve">;</w:t>
      </w:r>
      <w:r>
        <w:rPr>
          <w:rStyle w:val="1150"/>
        </w:rPr>
      </w:r>
      <w:r>
        <w:rPr>
          <w:rStyle w:val="1150"/>
        </w:rPr>
      </w:r>
    </w:p>
    <w:p>
      <w:pPr>
        <w:pStyle w:val="1119"/>
        <w:numPr>
          <w:ilvl w:val="0"/>
          <w:numId w:val="13"/>
        </w:numPr>
        <w:ind w:left="284" w:hanging="284"/>
        <w:spacing w:before="60"/>
        <w:rPr>
          <w:rStyle w:val="1150"/>
        </w:rPr>
      </w:pPr>
      <w:r>
        <w:rPr>
          <w:rStyle w:val="1150"/>
        </w:rPr>
        <w:t xml:space="preserve">переход по перекрестным и другим ссылкам осуществляется левым кликом мыши с</w:t>
      </w:r>
      <w:r>
        <w:rPr>
          <w:rStyle w:val="1150"/>
          <w:lang w:val="en-US"/>
        </w:rPr>
        <w:t xml:space="preserve"> </w:t>
      </w:r>
      <w:r>
        <w:rPr>
          <w:rStyle w:val="1150"/>
        </w:rPr>
        <w:t xml:space="preserve">зажатой клавишей Ctrl, обратный возврат на место в тексте, с котор</w:t>
      </w:r>
      <w:r>
        <w:rPr>
          <w:rStyle w:val="1150"/>
        </w:rPr>
        <w:t xml:space="preserve">ого</w:t>
      </w:r>
      <w:r>
        <w:rPr>
          <w:rStyle w:val="1150"/>
        </w:rPr>
        <w:t xml:space="preserve"> был </w:t>
      </w:r>
      <w:r>
        <w:rPr>
          <w:rStyle w:val="1150"/>
        </w:rPr>
        <w:t xml:space="preserve">сделан</w:t>
      </w:r>
      <w:r>
        <w:rPr>
          <w:rStyle w:val="1150"/>
        </w:rPr>
        <w:t xml:space="preserve"> переход, осуществляется нажатием стрелки влево (←) с зажатой левой клавишей Alt</w:t>
      </w:r>
      <w:r>
        <w:rPr>
          <w:rStyle w:val="1150"/>
        </w:rPr>
        <w:t xml:space="preserve"> </w:t>
      </w:r>
      <w:r>
        <w:rPr>
          <w:rStyle w:val="1150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50"/>
        </w:rPr>
        <w:t xml:space="preserve">;</w:t>
      </w:r>
      <w:r>
        <w:rPr>
          <w:rStyle w:val="1150"/>
        </w:rPr>
      </w:r>
      <w:r>
        <w:rPr>
          <w:rStyle w:val="1150"/>
        </w:rPr>
      </w:r>
    </w:p>
    <w:p>
      <w:pPr>
        <w:pStyle w:val="1119"/>
        <w:numPr>
          <w:ilvl w:val="0"/>
          <w:numId w:val="13"/>
        </w:numPr>
        <w:ind w:left="284" w:hanging="284"/>
        <w:spacing w:before="60"/>
        <w:rPr>
          <w:rStyle w:val="1150"/>
        </w:rPr>
      </w:pPr>
      <w:r>
        <w:rPr>
          <w:rStyle w:val="1150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50"/>
        </w:rPr>
        <w:t xml:space="preserve">е</w:t>
      </w:r>
      <w:r>
        <w:rPr>
          <w:rStyle w:val="1150"/>
        </w:rPr>
        <w:t xml:space="preserve"> документа (файла) в</w:t>
      </w:r>
      <w:r>
        <w:rPr>
          <w:rStyle w:val="1150"/>
          <w:lang w:val="en-US"/>
        </w:rPr>
        <w:t xml:space="preserve"> </w:t>
      </w:r>
      <w:r>
        <w:rPr>
          <w:rStyle w:val="1150"/>
        </w:rPr>
        <w:t xml:space="preserve">тексте</w:t>
      </w:r>
      <w:r>
        <w:rPr>
          <w:rStyle w:val="1150"/>
        </w:rPr>
        <w:t xml:space="preserve">;</w:t>
      </w:r>
      <w:r>
        <w:rPr>
          <w:rStyle w:val="1150"/>
        </w:rPr>
      </w:r>
      <w:r>
        <w:rPr>
          <w:rStyle w:val="1150"/>
        </w:rPr>
      </w:r>
    </w:p>
    <w:p>
      <w:pPr>
        <w:pStyle w:val="1119"/>
        <w:numPr>
          <w:ilvl w:val="0"/>
          <w:numId w:val="13"/>
        </w:numPr>
        <w:ind w:left="284" w:hanging="284"/>
        <w:spacing w:before="60"/>
        <w:rPr>
          <w:rStyle w:val="1150"/>
        </w:rPr>
      </w:pPr>
      <w:r>
        <w:rPr>
          <w:rStyle w:val="1150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50"/>
        </w:rPr>
        <w:t xml:space="preserve">.]</w:t>
      </w:r>
      <w:r>
        <w:rPr>
          <w:rStyle w:val="1150"/>
        </w:rPr>
      </w:r>
      <w:r>
        <w:rPr>
          <w:rStyle w:val="1150"/>
        </w:rPr>
      </w:r>
    </w:p>
    <w:p>
      <w:pPr>
        <w:pStyle w:val="1118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19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9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9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9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9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9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9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9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9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9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9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9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9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9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9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19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19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9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9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9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9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8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19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9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9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9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9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9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9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9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9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9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9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9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9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9"/>
        <w:ind w:firstLine="567"/>
      </w:pPr>
      <w:r>
        <w:rPr>
          <w:b/>
          <w:bCs/>
        </w:rPr>
        <w:t xml:space="preserve">Коллективный участник</w:t>
      </w:r>
      <w:r>
        <w:t xml:space="preserve"> – </w:t>
      </w:r>
      <w:r>
        <w:t xml:space="preserve">объединение юридических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физических лиц, в</w:t>
      </w:r>
      <w:r>
        <w:t xml:space="preserve"> </w:t>
      </w:r>
      <w:r>
        <w:t xml:space="preserve">том числе индивидуальных предпринимателей, выступающих на стороне одного </w:t>
      </w:r>
      <w:r>
        <w:t xml:space="preserve">Участника </w:t>
      </w:r>
      <w:r>
        <w:t xml:space="preserve">и несущих солидарную ответственность по обязательствам, вытекающим из</w:t>
      </w:r>
      <w:r>
        <w:t xml:space="preserve"> </w:t>
      </w:r>
      <w:r>
        <w:t xml:space="preserve">участия в</w:t>
      </w:r>
      <w:r>
        <w:t xml:space="preserve"> </w:t>
      </w:r>
      <w:r>
        <w:t xml:space="preserve">закупке и дальнейшего заключения и исполнения договора.</w:t>
      </w:r>
      <w:r/>
    </w:p>
    <w:p>
      <w:pPr>
        <w:pStyle w:val="1119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9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9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9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9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7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9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9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9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9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27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9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19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или не</w:t>
      </w:r>
      <w:r>
        <w:t xml:space="preserve">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 или несколько физических лиц, выступающих н</w:t>
      </w:r>
      <w:r>
        <w:t xml:space="preserve">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9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3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14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15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5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</w:t>
        </w:r>
        <w:r>
          <w:rPr>
            <w:rStyle w:val="1143"/>
          </w:rPr>
          <w:t xml:space="preserve">х</w:t>
        </w:r>
        <w:r>
          <w:rPr>
            <w:rStyle w:val="1143"/>
          </w:rPr>
          <w:t xml:space="preserve"> требовани</w:t>
        </w:r>
        <w:r>
          <w:rPr>
            <w:rStyle w:val="1143"/>
          </w:rPr>
          <w:t xml:space="preserve">ях (Приложение № 1)</w:t>
        </w:r>
      </w:hyperlink>
      <w:r>
        <w:rPr>
          <w:rStyle w:val="1143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</w:t>
        </w:r>
        <w:r>
          <w:rPr>
            <w:rStyle w:val="1143"/>
          </w:rPr>
          <w:t xml:space="preserve">роект</w:t>
        </w:r>
        <w:r>
          <w:rPr>
            <w:rStyle w:val="1143"/>
          </w:rPr>
          <w:t xml:space="preserve">е</w:t>
        </w:r>
        <w:r>
          <w:rPr>
            <w:rStyle w:val="1143"/>
          </w:rPr>
          <w:t xml:space="preserve"> </w:t>
        </w:r>
        <w:r>
          <w:rPr>
            <w:rStyle w:val="1143"/>
          </w:rPr>
          <w:t xml:space="preserve">д</w:t>
        </w:r>
        <w:r>
          <w:rPr>
            <w:rStyle w:val="1143"/>
          </w:rPr>
          <w:t xml:space="preserve">оговора</w:t>
        </w:r>
        <w:r>
          <w:rPr>
            <w:rStyle w:val="1143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5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4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Лот № 12016060-РЕМ ПРОД-2026-ДГК</w:t>
            </w:r>
            <w:r>
              <w:t xml:space="preserve">:</w:t>
            </w:r>
            <w:r/>
          </w:p>
          <w:p>
            <w:pPr>
              <w:pStyle w:val="1119"/>
              <w:jc w:val="both"/>
              <w:keepNext/>
              <w:spacing w:before="0" w:beforeAutospacing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ОКПД2 29.32.30 Поставка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Электронная площадка</w:t>
            </w:r>
            <w:r>
              <w:t xml:space="preserve">: 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29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06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24"/>
                <w:highlight w:val="white"/>
              </w:rPr>
            </w:r>
            <w:hyperlink r:id="rId13" w:tooltip="http://www.roseltorg.ru/knowledge_db/docs/documents" w:history="1">
              <w:r>
                <w:rPr>
                  <w:rStyle w:val="1129"/>
                  <w:highlight w:val="white"/>
                </w:rPr>
                <w:t xml:space="preserve">www.roseltorg.ru/knowledge_db/docs/documents</w:t>
              </w:r>
              <w:r>
                <w:rPr>
                  <w:rStyle w:val="1129"/>
                  <w:highlight w:val="none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9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3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(полное):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Акционерное общество «Дальневосточная генерирующая компания»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9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(сокращенное):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9"/>
              <w:keepNext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Место нахождения: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, г. Хабаровск, ул. Фрунзе, д. 49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  <w:p>
            <w:pPr>
              <w:pStyle w:val="1119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9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Адрес электронной почты: </w:t>
            </w:r>
            <w:hyperlink r:id="rId14" w:tooltip="mailto:dgk@dgk.ru" w:history="1">
              <w:r>
                <w:rPr>
                  <w:rStyle w:val="1129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9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@</w:t>
              </w:r>
              <w:r>
                <w:rPr>
                  <w:rStyle w:val="1129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9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.</w:t>
              </w:r>
              <w:r>
                <w:rPr>
                  <w:rStyle w:val="1129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61"/>
              <w:spacing w:before="120" w:after="120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(4212) 26-43-63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  <w:keepNext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19"/>
              <w:keepNext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19"/>
              <w:keepNext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19"/>
              <w:keepNext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д. 49</w:t>
            </w:r>
            <w:r/>
          </w:p>
          <w:p>
            <w:pPr>
              <w:pStyle w:val="1119"/>
              <w:keepNext/>
            </w:pPr>
            <w:r>
              <w:t xml:space="preserve">Адрес электронной почты: </w:t>
            </w:r>
            <w:hyperlink r:id="rId15" w:tooltip="mailto:fedyasheva-ig@dgk.ru" w:history="1">
              <w:r>
                <w:rPr>
                  <w:rStyle w:val="1129"/>
                  <w:b w:val="0"/>
                  <w:sz w:val="26"/>
                  <w:szCs w:val="26"/>
                </w:rPr>
                <w:t xml:space="preserve">fedyasheva-ig@dgk.ru</w:t>
              </w:r>
            </w:hyperlink>
            <w:r/>
            <w:r/>
          </w:p>
          <w:p>
            <w:pPr>
              <w:pStyle w:val="1161"/>
              <w:spacing w:before="120" w:after="120"/>
              <w:rPr>
                <w:b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(4212) 26-43-73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  <w:rPr>
                <w:b w:val="0"/>
                <w:bCs w:val="0"/>
                <w:sz w:val="26"/>
                <w:szCs w:val="26"/>
              </w:rPr>
            </w:pPr>
            <w:r>
              <w:rPr>
                <w:rStyle w:val="1124"/>
              </w:rPr>
            </w:r>
            <w:r>
              <w:rPr>
                <w:b w:val="0"/>
                <w:sz w:val="26"/>
                <w:szCs w:val="26"/>
              </w:rPr>
              <w:t xml:space="preserve">Конт</w:t>
            </w:r>
            <w:r>
              <w:rPr>
                <w:b w:val="0"/>
                <w:sz w:val="26"/>
                <w:szCs w:val="26"/>
              </w:rPr>
              <w:t xml:space="preserve">актное лицо (Ф.И.О.):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19"/>
            </w:pPr>
            <w:r>
              <w:rPr>
                <w:b w:val="0"/>
                <w:sz w:val="26"/>
                <w:szCs w:val="26"/>
              </w:rPr>
              <w:t xml:space="preserve">Федяшева Ирина Геннадьевна</w:t>
            </w:r>
            <w:r/>
          </w:p>
          <w:p>
            <w:pPr>
              <w:pStyle w:val="1119"/>
            </w:pPr>
            <w:r>
              <w:t xml:space="preserve">Адр</w:t>
            </w:r>
            <w:r>
              <w:t xml:space="preserve">ес электронной почты: </w:t>
            </w:r>
            <w:hyperlink r:id="rId16" w:tooltip="mailto:fedyasheva-ig@dgk.ru" w:history="1">
              <w:r>
                <w:rPr>
                  <w:rStyle w:val="1129"/>
                </w:rPr>
                <w:t xml:space="preserve">fedyasheva-ig@dgk.ru</w:t>
              </w:r>
            </w:hyperlink>
            <w:r/>
            <w:r/>
          </w:p>
          <w:p>
            <w:pPr>
              <w:pStyle w:val="1161"/>
              <w:spacing w:before="0" w:after="0"/>
              <w:rPr>
                <w:b/>
                <w:i w:val="0"/>
                <w:sz w:val="24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</w:t>
            </w:r>
            <w:r>
              <w:rPr>
                <w:b w:val="0"/>
                <w:sz w:val="26"/>
                <w:szCs w:val="26"/>
              </w:rPr>
              <w:t xml:space="preserve">тактный телефон: +7 (4212) 26-43-73</w:t>
            </w:r>
            <w:r>
              <w:rPr>
                <w:b/>
                <w:i w:val="0"/>
                <w:sz w:val="24"/>
                <w:shd w:val="clear" w:color="auto" w:fill="auto"/>
              </w:rPr>
            </w:r>
            <w:r>
              <w:rPr>
                <w:b/>
                <w:i w:val="0"/>
                <w:sz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9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«05</w:t>
            </w:r>
            <w:r>
              <w:t xml:space="preserve">»</w:t>
            </w:r>
            <w:r>
              <w:t xml:space="preserve"> марта</w:t>
            </w:r>
            <w:r>
              <w:t xml:space="preserve"> 2026 г</w:t>
            </w:r>
            <w:r>
              <w:t xml:space="preserve">.</w:t>
            </w:r>
            <w:r/>
          </w:p>
          <w:p>
            <w:pPr>
              <w:pStyle w:val="1119"/>
              <w:rPr>
                <w:rStyle w:val="1124"/>
              </w:rPr>
            </w:pPr>
            <w:r>
              <w:rPr>
                <w:rStyle w:val="1124"/>
              </w:rPr>
            </w:r>
            <w:r>
              <w:rPr>
                <w:rStyle w:val="1124"/>
              </w:rPr>
            </w:r>
            <w:r>
              <w:rPr>
                <w:rStyle w:val="11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jc w:val="both"/>
              <w:spacing w:before="60" w:after="60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33 540 536,30</w:t>
            </w:r>
            <w:r>
              <w:t xml:space="preserve"> </w:t>
            </w:r>
            <w:r>
              <w:t xml:space="preserve">руб., без учета НДС</w:t>
            </w:r>
            <w:r>
              <w:t xml:space="preserve">.</w:t>
            </w:r>
            <w:r/>
          </w:p>
          <w:p>
            <w:pPr>
              <w:pStyle w:val="1119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9"/>
              <w:rPr>
                <w:highlight w:val="none"/>
              </w:rPr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3"/>
                </w:rPr>
                <w:t xml:space="preserve">Приложени</w:t>
              </w:r>
              <w:r>
                <w:rPr>
                  <w:rStyle w:val="1143"/>
                </w:rPr>
                <w:t xml:space="preserve">и</w:t>
              </w:r>
              <w:r>
                <w:rPr>
                  <w:rStyle w:val="1143"/>
                </w:rPr>
                <w:t xml:space="preserve"> №</w:t>
              </w:r>
              <w:r>
                <w:rPr>
                  <w:rStyle w:val="1143"/>
                </w:rPr>
                <w:t xml:space="preserve"> </w:t>
              </w:r>
              <w:r>
                <w:rPr>
                  <w:rStyle w:val="1143"/>
                </w:rPr>
                <w:t xml:space="preserve">9</w:t>
              </w:r>
            </w:hyperlink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19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0,5% – 5,0% от НМЦ, что составляет:</w:t>
            </w:r>
            <w:r/>
          </w:p>
          <w:p>
            <w:pPr>
              <w:pStyle w:val="1119"/>
            </w:pPr>
            <w:r>
              <w:rPr>
                <w:color w:val="000000" w:themeColor="text1"/>
              </w:rPr>
              <w:t xml:space="preserve">167 702,68 руб. – 1 677 026,82</w:t>
            </w:r>
            <w:r>
              <w:t xml:space="preserve"> руб., без учета НДС</w:t>
            </w:r>
            <w:r>
              <w:t xml:space="preserve">.</w:t>
            </w:r>
            <w:r>
              <w:rPr>
                <w:rStyle w:val="1124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Требуется.</w:t>
            </w:r>
            <w:r/>
          </w:p>
          <w:p>
            <w:pPr>
              <w:pStyle w:val="1119"/>
            </w:pPr>
            <w:r>
              <w:t xml:space="preserve">Размер обеспечения заявок:</w:t>
            </w:r>
            <w:r/>
          </w:p>
          <w:p>
            <w:pPr>
              <w:pStyle w:val="1119"/>
            </w:pPr>
            <w:r>
              <w:rPr>
                <w:rFonts w:eastAsia="Liberation Serif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b/>
                <w:bCs/>
              </w:rPr>
              <w:t xml:space="preserve">289 570, 96</w:t>
            </w:r>
            <w:r>
              <w:t xml:space="preserve"> (двести восемьдесят девять </w:t>
            </w:r>
            <w:r>
              <w:rPr>
                <w:color w:val="auto"/>
              </w:rPr>
              <w:t xml:space="preserve">тысяч пятьсот семьдесят)</w:t>
            </w:r>
            <w:r>
              <w:rPr>
                <w:color w:val="auto"/>
              </w:rPr>
              <w:t xml:space="preserve"> рублей 96 копеек</w:t>
            </w:r>
            <w:r>
              <w:t xml:space="preserve">, НДС не облагается.</w:t>
            </w:r>
            <w:r/>
          </w:p>
          <w:p>
            <w:pPr>
              <w:pStyle w:val="1119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9"/>
              <w:numPr>
                <w:ilvl w:val="0"/>
                <w:numId w:val="2"/>
              </w:numPr>
              <w:ind w:left="284" w:hanging="284"/>
            </w:pPr>
            <w:r>
              <w:t xml:space="preserve">- 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9"/>
              <w:numPr>
                <w:ilvl w:val="0"/>
                <w:numId w:val="2"/>
              </w:numPr>
              <w:ind w:left="284" w:hanging="284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9"/>
              <w:rPr>
                <w:rStyle w:val="1124"/>
                <w:i w:val="0"/>
                <w:iCs w:val="0"/>
                <w:shd w:val="clear" w:color="auto" w:fill="auto"/>
              </w:rPr>
            </w:pP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4"/>
                <w:i w:val="0"/>
                <w:iCs w:val="0"/>
                <w:shd w:val="clear" w:color="auto" w:fill="auto"/>
              </w:rPr>
            </w:r>
            <w:r>
              <w:rPr>
                <w:rStyle w:val="1124"/>
                <w:i w:val="0"/>
                <w:iCs w:val="0"/>
                <w:shd w:val="clear" w:color="auto" w:fill="auto"/>
              </w:rPr>
            </w:r>
          </w:p>
          <w:p>
            <w:pPr>
              <w:pStyle w:val="1119"/>
              <w:rPr>
                <w:rStyle w:val="1124"/>
              </w:rPr>
            </w:pP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4"/>
              </w:rPr>
            </w:r>
            <w:r>
              <w:rPr>
                <w:rStyle w:val="1124"/>
              </w:rPr>
            </w:r>
          </w:p>
          <w:p>
            <w:pPr>
              <w:pStyle w:val="1163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3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3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3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19"/>
              <w:rPr>
                <w:rStyle w:val="1124"/>
                <w:i w:val="0"/>
                <w:iCs w:val="0"/>
                <w:shd w:val="clear" w:color="auto" w:fill="auto"/>
              </w:rPr>
            </w:pPr>
            <w:r>
              <w:rPr>
                <w:rStyle w:val="1124"/>
                <w:b/>
                <w:bCs/>
                <w:i w:val="0"/>
                <w:iCs w:val="0"/>
                <w:shd w:val="clear" w:color="auto" w:fill="auto"/>
              </w:rPr>
              <w:t xml:space="preserve">Внимание!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4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24"/>
                <w:i w:val="0"/>
                <w:iCs w:val="0"/>
                <w:shd w:val="clear" w:color="auto" w:fill="auto"/>
              </w:rPr>
            </w:r>
            <w:r>
              <w:rPr>
                <w:rStyle w:val="1124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П</w:t>
            </w:r>
            <w:r>
              <w:rPr>
                <w:color w:val="000000" w:themeColor="text1"/>
              </w:rP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 параметрам эквивалентности</w:t>
            </w:r>
            <w:r>
              <w:rPr>
                <w:color w:val="000000" w:themeColor="text1"/>
              </w:rPr>
              <w:t xml:space="preserve">, указанным в</w:t>
            </w:r>
            <w:r>
              <w:rPr>
                <w:color w:val="000000" w:themeColor="text1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3"/>
                  <w:color w:val="000000" w:themeColor="text1"/>
                </w:rPr>
                <w:t xml:space="preserve">Технически</w:t>
              </w:r>
              <w:r>
                <w:rPr>
                  <w:rStyle w:val="1143"/>
                  <w:color w:val="000000" w:themeColor="text1"/>
                </w:rPr>
                <w:t xml:space="preserve">х</w:t>
              </w:r>
              <w:r>
                <w:rPr>
                  <w:rStyle w:val="1143"/>
                  <w:color w:val="000000" w:themeColor="text1"/>
                </w:rPr>
                <w:t xml:space="preserve"> требовани</w:t>
              </w:r>
              <w:r>
                <w:rPr>
                  <w:rStyle w:val="1143"/>
                  <w:color w:val="000000" w:themeColor="text1"/>
                </w:rPr>
                <w:t xml:space="preserve">я</w:t>
              </w:r>
              <w:r>
                <w:rPr>
                  <w:rStyle w:val="1143"/>
                  <w:color w:val="000000" w:themeColor="text1"/>
                </w:rPr>
                <w:t xml:space="preserve">х (Приложение № 1)</w:t>
              </w:r>
            </w:hyperlink>
            <w:r>
              <w:rPr>
                <w:color w:val="000000" w:themeColor="text1"/>
              </w:rPr>
              <w:t xml:space="preserve">,</w:t>
            </w:r>
            <w:r>
              <w:rPr>
                <w:color w:val="000000" w:themeColor="text1"/>
              </w:rPr>
              <w:t xml:space="preserve"> – по</w:t>
            </w:r>
            <w:r>
              <w:rPr>
                <w:color w:val="000000" w:themeColor="text1"/>
              </w:rPr>
              <w:t xml:space="preserve"> </w:t>
            </w:r>
            <w:r>
              <w:rPr>
                <w:color w:val="000000" w:themeColor="text1"/>
              </w:rPr>
              <w:t xml:space="preserve">установленной </w:t>
            </w:r>
            <w:r>
              <w:rPr>
                <w:color w:val="000000" w:themeColor="text1"/>
              </w:rPr>
              <w:t xml:space="preserve">форме Технического предложения </w:t>
            </w:r>
            <w:r>
              <w:rPr>
                <w:color w:val="000000" w:themeColor="text1"/>
              </w:rPr>
              <w:t xml:space="preserve">(форма 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3"/>
                  <w:color w:val="000000" w:themeColor="text1"/>
                </w:rPr>
                <w:t xml:space="preserve">Приложение № </w:t>
              </w:r>
              <w:r>
                <w:rPr>
                  <w:rStyle w:val="1143"/>
                  <w:color w:val="000000" w:themeColor="text1"/>
                </w:rPr>
                <w:t xml:space="preserve">4</w:t>
              </w:r>
            </w:hyperlink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61"/>
              <w:jc w:val="both"/>
              <w:spacing w:before="0"/>
              <w:rPr>
                <w:bCs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iCs w:val="0"/>
                <w:sz w:val="26"/>
                <w:szCs w:val="26"/>
                <w:highlight w:val="none"/>
                <w:lang w:eastAsia="en-US"/>
              </w:rPr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По позициям №1-83, 96-126, 129-187, 200-230, 234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-262, 265-322, 325-331, 333-418, 430, 444-583, 591-727, 756-761, 776-822, 829-854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Таблицы 1.1. – Приложения №1 к Техническим требований 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установлен режим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 преимущества Российской продукции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(когда национальный режим не предоставляется)</w:t>
            </w:r>
            <w:r>
              <w:rPr>
                <w:bCs w:val="0"/>
                <w:i w:val="0"/>
                <w:sz w:val="26"/>
                <w:szCs w:val="26"/>
              </w:rPr>
            </w:r>
            <w:r>
              <w:rPr>
                <w:bCs w:val="0"/>
                <w:i w:val="0"/>
                <w:sz w:val="26"/>
                <w:szCs w:val="26"/>
              </w:rPr>
            </w:r>
          </w:p>
          <w:p>
            <w:pPr>
              <w:pStyle w:val="1161"/>
              <w:jc w:val="both"/>
              <w:spacing w:before="0"/>
              <w:rPr>
                <w:bCs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iCs w:val="0"/>
                <w:sz w:val="26"/>
                <w:szCs w:val="26"/>
                <w:highlight w:val="none"/>
                <w:lang w:eastAsia="en-US"/>
              </w:rPr>
            </w:r>
            <w:r>
              <w:rPr>
                <w:bCs w:val="0"/>
                <w:i w:val="0"/>
                <w:sz w:val="26"/>
                <w:szCs w:val="26"/>
              </w:rPr>
            </w:r>
            <w:r>
              <w:rPr>
                <w:bCs w:val="0"/>
                <w:i w:val="0"/>
                <w:sz w:val="26"/>
                <w:szCs w:val="26"/>
              </w:rPr>
            </w:r>
          </w:p>
          <w:p>
            <w:pPr>
              <w:pStyle w:val="1161"/>
              <w:jc w:val="both"/>
              <w:spacing w:before="0"/>
              <w:rPr>
                <w:b w:val="0"/>
                <w:bCs w:val="0"/>
                <w:i w:val="0"/>
                <w:sz w:val="26"/>
                <w:szCs w:val="26"/>
                <w:highlight w:val="none"/>
              </w:rPr>
            </w:pPr>
            <w:r>
              <w:rPr>
                <w:b w:val="0"/>
                <w:i w:val="0"/>
                <w:iCs w:val="0"/>
                <w:sz w:val="26"/>
                <w:szCs w:val="26"/>
                <w:highlight w:val="none"/>
                <w:lang w:eastAsia="en-US"/>
              </w:rPr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По позициям № 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84-95, 127-128, 188-199, 231-233, 263-264, 323-324, 332, 419-429, 431-443, 584-590, 728-755, 762-775, 823-828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Таблицы 1.1. – Приложения №1 к Техническим требований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установлен режим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 ограничения закупки  иностранного продукции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(когда национальный режим не предоставляется)</w:t>
            </w:r>
            <w:r>
              <w:rPr>
                <w:b w:val="0"/>
                <w:bCs w:val="0"/>
                <w:i w:val="0"/>
                <w:sz w:val="26"/>
                <w:szCs w:val="26"/>
                <w:highlight w:val="none"/>
              </w:rPr>
            </w:r>
            <w:r>
              <w:rPr>
                <w:b w:val="0"/>
                <w:bCs w:val="0"/>
                <w:i w:val="0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9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Дата начала подачи заявок:</w:t>
            </w:r>
            <w:r/>
          </w:p>
          <w:p>
            <w:pPr>
              <w:pStyle w:val="1119"/>
            </w:pPr>
            <w:r>
              <w:t xml:space="preserve">«05»</w:t>
            </w:r>
            <w:r>
              <w:t xml:space="preserve"> марта</w:t>
            </w:r>
            <w:r>
              <w:t xml:space="preserve"> 2026 г.</w:t>
            </w:r>
            <w:r/>
          </w:p>
          <w:p>
            <w:pPr>
              <w:pStyle w:val="1119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9"/>
            </w:pPr>
            <w:r>
              <w:rPr>
                <w:b/>
                <w:bCs/>
              </w:rPr>
              <w:t xml:space="preserve">«23»</w:t>
            </w:r>
            <w:r>
              <w:rPr>
                <w:b/>
                <w:bCs/>
              </w:rPr>
              <w:t xml:space="preserve"> марта</w:t>
            </w:r>
            <w:r>
              <w:rPr>
                <w:b/>
                <w:bCs/>
              </w:rPr>
              <w:t xml:space="preserve"> 2026 г</w:t>
            </w:r>
            <w:r>
              <w:t xml:space="preserve">.</w:t>
            </w:r>
            <w:r>
              <w:rPr>
                <w:b/>
                <w:bCs/>
              </w:rPr>
              <w:t xml:space="preserve"> в 16 ч. 00 мин.</w:t>
            </w:r>
            <w:r>
              <w:t xml:space="preserve"> </w:t>
            </w:r>
            <w:r>
              <w:t xml:space="preserve">(по местному времени Организатора)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9"/>
            </w:pPr>
            <w:r>
              <w:t xml:space="preserve">«23» марта 2026 г. в 16 ч. 00 мин. </w:t>
            </w:r>
            <w:r>
              <w:t xml:space="preserve">(по местному времени Организатора).</w:t>
            </w:r>
            <w:r/>
          </w:p>
          <w:p>
            <w:pPr>
              <w:pStyle w:val="1119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«31</w:t>
            </w:r>
            <w:r>
              <w:t xml:space="preserve">» марта 2026 </w:t>
            </w:r>
            <w:r>
              <w:t xml:space="preserve">г.</w:t>
            </w:r>
            <w:r/>
          </w:p>
          <w:p>
            <w:pPr>
              <w:pStyle w:val="1119"/>
              <w:rPr>
                <w:rStyle w:val="1124"/>
              </w:rPr>
            </w:pPr>
            <w:r>
              <w:rPr>
                <w:rStyle w:val="1124"/>
              </w:rPr>
            </w:r>
            <w:r>
              <w:rPr>
                <w:rStyle w:val="1124"/>
              </w:rPr>
            </w:r>
            <w:r>
              <w:rPr>
                <w:rStyle w:val="11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«02</w:t>
            </w:r>
            <w:r>
              <w:t xml:space="preserve">» апреля 2026 г. в 17 ч. 00 мин.</w:t>
            </w:r>
            <w:r>
              <w:t xml:space="preserve"> (если иное время не установлено Оператором ЭП в автоматическом режиме) </w:t>
            </w:r>
            <w:r>
              <w:t xml:space="preserve">(по местному времени Организатора)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«10» апреля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«14» апреля 2026 г.</w:t>
            </w:r>
            <w:r/>
          </w:p>
          <w:p>
            <w:pPr>
              <w:pStyle w:val="1119"/>
              <w:rPr>
                <w:rStyle w:val="1124"/>
              </w:rPr>
            </w:pPr>
            <w:r>
              <w:rPr>
                <w:rStyle w:val="1124"/>
              </w:rPr>
            </w:r>
            <w:r>
              <w:rPr>
                <w:rStyle w:val="1124"/>
              </w:rPr>
            </w:r>
            <w:r>
              <w:rPr>
                <w:rStyle w:val="11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49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Один победитель.</w:t>
            </w:r>
            <w:r/>
          </w:p>
          <w:p>
            <w:pPr>
              <w:pStyle w:val="1149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Канцелярия 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Почтовый адрес: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680000 г. Хабаровск ул. Фрунзе, 49,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тел. (4212) 26-42-43,  (4212) 26-43-63,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/>
                <w:bCs w:val="0"/>
                <w:i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контактное лицо указать:</w:t>
            </w:r>
            <w:r>
              <w:rPr>
                <w:b/>
                <w:bCs w:val="0"/>
                <w:i w:val="0"/>
              </w:rPr>
            </w:r>
            <w:r>
              <w:rPr>
                <w:b/>
                <w:bCs w:val="0"/>
                <w:i w:val="0"/>
              </w:rPr>
            </w:r>
          </w:p>
          <w:p>
            <w:pPr>
              <w:pStyle w:val="1161"/>
              <w:spacing w:before="0" w:beforeAutospacing="0" w:after="0" w:afterAutospacing="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для Зюзина Сергея Сергеевича»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Отсутствуют.</w:t>
            </w:r>
            <w:r/>
          </w:p>
          <w:p>
            <w:pPr>
              <w:pStyle w:val="1149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9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9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pStyle w:val="1119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9"/>
              <w:numPr>
                <w:ilvl w:val="0"/>
                <w:numId w:val="25"/>
              </w:numPr>
              <w:ind w:left="284" w:hanging="284"/>
              <w:keepNext/>
              <w:rPr>
                <w:szCs w:val="26"/>
              </w:rPr>
            </w:pPr>
            <w:r/>
            <w:bookmarkStart w:id="0" w:name="undefined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</w:t>
            </w:r>
            <w:r>
              <w:rPr>
                <w:szCs w:val="26"/>
              </w:rPr>
              <w:t xml:space="preserve">:</w:t>
            </w:r>
            <w:bookmarkEnd w:id="0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9"/>
              <w:ind w:left="0" w:firstLine="0"/>
            </w:pPr>
            <w:r>
              <w:t xml:space="preserve">- </w:t>
            </w:r>
            <w:r>
              <w:t xml:space="preserve">размер обеспечения: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 </w:t>
            </w:r>
            <w:r/>
          </w:p>
          <w:p>
            <w:pPr>
              <w:pStyle w:val="1119"/>
              <w:ind w:left="0" w:firstLine="0"/>
            </w:pPr>
            <w:r>
              <w:t xml:space="preserve">- 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9"/>
              <w:ind w:left="0" w:firstLine="0"/>
            </w:pPr>
            <w:r>
              <w:t xml:space="preserve">Иные требования к обеспечению исполнения Договора приведены </w:t>
            </w:r>
            <w:r>
              <w:t xml:space="preserve">в Проекте договора (Приложение № 2 к Документации о закупке)</w:t>
            </w:r>
            <w:r>
              <w:t xml:space="preserve">.</w:t>
            </w:r>
            <w:r/>
          </w:p>
        </w:tc>
      </w:tr>
    </w:tbl>
    <w:p>
      <w:pPr>
        <w:pStyle w:val="1113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14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15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5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5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Приложении № 2</w:t>
        </w:r>
      </w:hyperlink>
      <w:r>
        <w:t xml:space="preserve">.</w:t>
      </w:r>
      <w:r/>
    </w:p>
    <w:p>
      <w:pPr>
        <w:pStyle w:val="1115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3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№</w:t>
        </w:r>
        <w:r>
          <w:rPr>
            <w:rStyle w:val="1143"/>
          </w:rPr>
          <w:t xml:space="preserve"> </w:t>
        </w:r>
        <w:r>
          <w:rPr>
            <w:rStyle w:val="1143"/>
          </w:rPr>
          <w:t xml:space="preserve">5</w:t>
        </w:r>
      </w:hyperlink>
      <w:r>
        <w:t xml:space="preserve">.</w:t>
      </w:r>
      <w:r/>
    </w:p>
    <w:p>
      <w:pPr>
        <w:pStyle w:val="1114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15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5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5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15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5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5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5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5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4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15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5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5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6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6"/>
      </w:pPr>
      <w:r>
        <w:t xml:space="preserve">признать заявление Участника необоснованным.</w:t>
      </w:r>
      <w:r/>
    </w:p>
    <w:p>
      <w:pPr>
        <w:pStyle w:val="1115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5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6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6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19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4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15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5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5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5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5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4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15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5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5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3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14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15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</w:t>
      </w:r>
      <w:r>
        <w:t xml:space="preserve">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15"/>
      </w:pPr>
      <w:r>
        <w:t xml:space="preserve">Однако, чтобы претендовать на победу в закупке Участник самостоятельно или Коллективный участник</w:t>
      </w:r>
      <w:r>
        <w:t xml:space="preserve"> (подраздел </w:t>
      </w:r>
      <w:r>
        <w:fldChar w:fldCharType="begin"/>
      </w:r>
      <w:r>
        <w:instrText xml:space="preserve"> REF _Ref130308062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5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15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Приложении № 3</w:t>
        </w:r>
      </w:hyperlink>
      <w:r>
        <w:t xml:space="preserve">:</w:t>
      </w:r>
      <w:r/>
    </w:p>
    <w:p>
      <w:pPr>
        <w:pStyle w:val="1116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6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5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16"/>
      </w:pPr>
      <w:r>
        <w:t xml:space="preserve">к Коллективны</w:t>
      </w:r>
      <w:r>
        <w:t xml:space="preserve">м</w:t>
      </w:r>
      <w:r>
        <w:t xml:space="preserve"> участникам</w:t>
      </w:r>
      <w:r>
        <w:t xml:space="preserve"> (подраздел </w:t>
      </w:r>
      <w:r>
        <w:fldChar w:fldCharType="begin"/>
      </w:r>
      <w:r>
        <w:instrText xml:space="preserve"> REF _Ref130308111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6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5"/>
      </w:pPr>
      <w:r/>
      <w:bookmarkStart w:id="50" w:name="_Ref125361969"/>
      <w:r/>
      <w:bookmarkStart w:id="51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14"/>
      </w:pPr>
      <w:r/>
      <w:bookmarkStart w:id="380" w:name="_Toc14"/>
      <w:r/>
      <w:bookmarkStart w:id="53" w:name="_Ref130305355"/>
      <w:r/>
      <w:bookmarkStart w:id="54" w:name="_Ref130308062"/>
      <w:r/>
      <w:bookmarkStart w:id="55" w:name="_Ref130308111"/>
      <w:r/>
      <w:bookmarkStart w:id="56" w:name="_Ref130308203"/>
      <w:r/>
      <w:bookmarkStart w:id="57" w:name="_Ref130308255"/>
      <w:r>
        <w:t xml:space="preserve">Коллективные участники</w:t>
      </w:r>
      <w:bookmarkEnd w:id="50"/>
      <w:r/>
      <w:bookmarkEnd w:id="51"/>
      <w:r/>
      <w:bookmarkEnd w:id="53"/>
      <w:r/>
      <w:bookmarkEnd w:id="54"/>
      <w:r/>
      <w:bookmarkEnd w:id="55"/>
      <w:r/>
      <w:bookmarkEnd w:id="56"/>
      <w:r/>
      <w:bookmarkEnd w:id="57"/>
      <w:r/>
      <w:bookmarkEnd w:id="380"/>
      <w:r/>
      <w:r/>
    </w:p>
    <w:p>
      <w:pPr>
        <w:pStyle w:val="1115"/>
      </w:pPr>
      <w:r>
        <w:t xml:space="preserve">В закупке могут участвовать</w:t>
      </w:r>
      <w:r>
        <w:t xml:space="preserve"> объединения</w:t>
      </w:r>
      <w:r>
        <w:t xml:space="preserve"> юридически</w:t>
      </w:r>
      <w:r>
        <w:t xml:space="preserve">х</w:t>
      </w:r>
      <w:r>
        <w:t xml:space="preserve"> и</w:t>
      </w:r>
      <w:r>
        <w:t xml:space="preserve"> (или)</w:t>
      </w:r>
      <w:r>
        <w:t xml:space="preserve"> физически</w:t>
      </w:r>
      <w:r>
        <w:t xml:space="preserve">х</w:t>
      </w:r>
      <w:r>
        <w:t xml:space="preserve"> лиц </w:t>
      </w:r>
      <w:r>
        <w:t xml:space="preserve">(</w:t>
      </w:r>
      <w:r>
        <w:t xml:space="preserve">в том числе индивидуальные предприниматели</w:t>
      </w:r>
      <w:r>
        <w:t xml:space="preserve">)</w:t>
      </w:r>
      <w:r>
        <w:t xml:space="preserve">, способные на законных основаниях выполнить требуемую поставку продукции</w:t>
      </w:r>
      <w:r>
        <w:t xml:space="preserve"> </w:t>
      </w:r>
      <w:r>
        <w:t xml:space="preserve">– Коллективный участник.</w:t>
      </w:r>
      <w:r/>
    </w:p>
    <w:p>
      <w:pPr>
        <w:pStyle w:val="1115"/>
      </w:pPr>
      <w:r>
        <w:t xml:space="preserve"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>
        <w:t xml:space="preserve"> </w:t>
      </w:r>
      <w:r>
        <w:t xml:space="preserve">дополнительным документам, предоставляемым Коллективными участниками в составе заявки, установленные </w:t>
      </w:r>
      <w:r>
        <w:t xml:space="preserve">в</w:t>
      </w:r>
      <w:r>
        <w:t xml:space="preserve"> подразделе </w:t>
      </w:r>
      <w:r>
        <w:fldChar w:fldCharType="begin"/>
      </w:r>
      <w:r>
        <w:instrText xml:space="preserve"> REF _Ref125552455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5"/>
        <w:keepNext/>
      </w:pPr>
      <w:r/>
      <w:bookmarkStart w:id="59" w:name="_Ref125366972"/>
      <w:r>
        <w:t xml:space="preserve">Члены Коллективного участника заключают между собой соглашение</w:t>
      </w:r>
      <w:r>
        <w:t xml:space="preserve"> (</w:t>
      </w:r>
      <w:r>
        <w:t xml:space="preserve">предоставляется Победителем Заказчику перед заключением Договора, в</w:t>
      </w:r>
      <w:r>
        <w:t xml:space="preserve"> </w:t>
      </w:r>
      <w:r>
        <w:t xml:space="preserve">соответствии с пунктом</w:t>
      </w:r>
      <w:r>
        <w:t xml:space="preserve"> </w:t>
      </w:r>
      <w:r>
        <w:fldChar w:fldCharType="begin"/>
      </w:r>
      <w:r>
        <w:instrText xml:space="preserve"> REF  _Ref125361554 \d ( \h \w </w:instrText>
      </w:r>
      <w:r>
        <w:fldChar w:fldCharType="separate"/>
      </w:r>
      <w:r>
        <w:t xml:space="preserve">5.2.5(г)</w:t>
      </w:r>
      <w:r>
        <w:fldChar w:fldCharType="end"/>
      </w:r>
      <w:r>
        <w:t xml:space="preserve">)</w:t>
      </w:r>
      <w:r>
        <w:t xml:space="preserve">, соответствующее нормам ГК</w:t>
      </w:r>
      <w:r>
        <w:t xml:space="preserve"> </w:t>
      </w:r>
      <w:r>
        <w:t xml:space="preserve">РФ, и отвечающее следующим требованиям:</w:t>
      </w:r>
      <w:bookmarkEnd w:id="59"/>
      <w:r/>
      <w:r/>
    </w:p>
    <w:p>
      <w:pPr>
        <w:pStyle w:val="1116"/>
      </w:pPr>
      <w:r>
        <w:t xml:space="preserve">в соглашении должны быть определены права и обязанности сторон как в</w:t>
      </w:r>
      <w:r>
        <w:t xml:space="preserve"> </w:t>
      </w:r>
      <w:r>
        <w:t xml:space="preserve">рамках участия в закупке, так и в рамках исполнения Договора;</w:t>
      </w:r>
      <w:r/>
    </w:p>
    <w:p>
      <w:pPr>
        <w:pStyle w:val="1116"/>
      </w:pPr>
      <w:r>
        <w:t xml:space="preserve">в соглашении должно быть приведено распределение номенклатуры, объемов</w:t>
      </w:r>
      <w:r>
        <w:t xml:space="preserve">, с приведением % от общей стоимости продукции (без указания стоимости в рублях)</w:t>
      </w:r>
      <w:r>
        <w:t xml:space="preserve">, а также сроков поставки продукции между членами Коллективного участника;</w:t>
      </w:r>
      <w:r/>
    </w:p>
    <w:p>
      <w:pPr>
        <w:pStyle w:val="1116"/>
      </w:pPr>
      <w:r>
        <w:t xml:space="preserve">в соглашении должен быть определен лидер, который в дальнейшем представляет интересы каждого члена Коллективного участника во</w:t>
      </w:r>
      <w:r>
        <w:t xml:space="preserve"> </w:t>
      </w:r>
      <w:r>
        <w:t xml:space="preserve">взаимоотношениях с Организатором и Заказчиком;</w:t>
      </w:r>
      <w:r/>
    </w:p>
    <w:p>
      <w:pPr>
        <w:pStyle w:val="1116"/>
      </w:pPr>
      <w:r>
        <w:t xml:space="preserve"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>
        <w:t xml:space="preserve"> </w:t>
      </w:r>
      <w:r>
        <w:t xml:space="preserve">участием в закупке, заключением и последующим исполнением Договора;</w:t>
      </w:r>
      <w:r/>
    </w:p>
    <w:p>
      <w:pPr>
        <w:pStyle w:val="1116"/>
      </w:pPr>
      <w:r>
        <w:t xml:space="preserve">срок действия соглашения должен быть не менее срока исполнения обязательств Участника по Договору, предлагаемого в составе заявки;</w:t>
      </w:r>
      <w:r/>
    </w:p>
    <w:p>
      <w:pPr>
        <w:pStyle w:val="1116"/>
      </w:pPr>
      <w:r>
        <w:t xml:space="preserve">соглашением должно быть предусмотрено, что все операции по</w:t>
      </w:r>
      <w:r>
        <w:t xml:space="preserve"> </w:t>
      </w:r>
      <w:r>
        <w:t xml:space="preserve"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  <w:r/>
    </w:p>
    <w:p>
      <w:pPr>
        <w:pStyle w:val="1115"/>
      </w:pPr>
      <w:r>
        <w:t xml:space="preserve">Заявка </w:t>
      </w:r>
      <w:r>
        <w:t xml:space="preserve">подготавливается и подается лидером от своего имени со ссылкой в</w:t>
      </w:r>
      <w:r>
        <w:t xml:space="preserve"> </w:t>
      </w:r>
      <w:r>
        <w:t xml:space="preserve">Письме о подаче оферты</w:t>
      </w:r>
      <w:r>
        <w:t xml:space="preserve">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)</w:t>
      </w:r>
      <w:r>
        <w:t xml:space="preserve"> на то, что он представляет интересы Коллективного</w:t>
      </w:r>
      <w:r>
        <w:t xml:space="preserve"> участника.</w:t>
      </w:r>
      <w:r/>
    </w:p>
    <w:p>
      <w:pPr>
        <w:pStyle w:val="1115"/>
      </w:pPr>
      <w:r/>
      <w:bookmarkStart w:id="60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>
        <w:t xml:space="preserve">к 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.</w:t>
      </w:r>
      <w:bookmarkEnd w:id="60"/>
      <w:r/>
      <w:r/>
    </w:p>
    <w:p>
      <w:pPr>
        <w:pStyle w:val="1115"/>
      </w:pPr>
      <w:r/>
      <w:bookmarkStart w:id="61" w:name="_Ref149654740"/>
      <w:r>
        <w:t xml:space="preserve">При рассмотрении Коллективного участника на соответствие специальным требованиям</w:t>
      </w:r>
      <w:r>
        <w:t xml:space="preserve"> к Участникам </w:t>
      </w:r>
      <w:r>
        <w:t xml:space="preserve">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 показатели, </w:t>
      </w:r>
      <w:r>
        <w:t xml:space="preserve">в том числе </w:t>
      </w:r>
      <w:r>
        <w:t xml:space="preserve">относящиеся к наличию специальных допусков, лицензий, членства в</w:t>
      </w:r>
      <w:r>
        <w:t xml:space="preserve"> </w:t>
      </w:r>
      <w:r>
        <w:t xml:space="preserve">саморегулируемых организациях, других разрешительных документов,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с</w:t>
      </w:r>
      <w:r>
        <w:t xml:space="preserve"> представленным в</w:t>
      </w:r>
      <w:r>
        <w:t xml:space="preserve"> </w:t>
      </w:r>
      <w:r>
        <w:t xml:space="preserve">Техническом предложении</w:t>
      </w:r>
      <w:r>
        <w:t xml:space="preserve"> </w:t>
      </w:r>
      <w:r>
        <w:t xml:space="preserve">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</w:t>
      </w:r>
      <w:r>
        <w:t xml:space="preserve">указанных </w:t>
      </w:r>
      <w:r>
        <w:t xml:space="preserve">специальных допусков, лицензий, разрешительных документов, членства в</w:t>
      </w:r>
      <w:r>
        <w:t xml:space="preserve"> </w:t>
      </w:r>
      <w:r>
        <w:t xml:space="preserve">саморегулируемых организациях в</w:t>
      </w:r>
      <w:r>
        <w:t xml:space="preserve"> </w:t>
      </w:r>
      <w:r>
        <w:t xml:space="preserve">соответствии с</w:t>
      </w:r>
      <w:r>
        <w:t xml:space="preserve"> </w:t>
      </w:r>
      <w:r>
        <w:t xml:space="preserve">законодательством (с уровнем ответственности пропорционально порученному объему поставки продукции).</w:t>
      </w:r>
      <w:bookmarkEnd w:id="61"/>
      <w:r/>
      <w:r/>
    </w:p>
    <w:p>
      <w:pPr>
        <w:pStyle w:val="1115"/>
        <w:keepNext/>
      </w:pPr>
      <w:r/>
      <w:bookmarkStart w:id="62" w:name="_Ref125361726"/>
      <w:r>
        <w:t xml:space="preserve"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2"/>
      <w:r/>
      <w:r/>
    </w:p>
    <w:p>
      <w:pPr>
        <w:pStyle w:val="1116"/>
      </w:pPr>
      <w:r>
        <w:t xml:space="preserve">принимать участие в этой же закупке самостоятельно;</w:t>
      </w:r>
      <w:r/>
    </w:p>
    <w:p>
      <w:pPr>
        <w:pStyle w:val="1116"/>
      </w:pPr>
      <w:r>
        <w:t xml:space="preserve">принимать участие в этой же закупке в качестве Генерального подрядчика или субподрядчика (подраздел</w:t>
      </w:r>
      <w:r>
        <w:t xml:space="preserve">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).</w:t>
      </w:r>
      <w:r/>
    </w:p>
    <w:p>
      <w:pPr>
        <w:pStyle w:val="1119"/>
        <w:ind w:left="1134"/>
      </w:pPr>
      <w:r>
        <w:t xml:space="preserve">В случае </w:t>
      </w:r>
      <w:r>
        <w:t xml:space="preserve">невыполнения данного</w:t>
      </w:r>
      <w:r>
        <w:t xml:space="preserve"> требовани</w:t>
      </w:r>
      <w:r>
        <w:t xml:space="preserve">я</w:t>
      </w:r>
      <w:r>
        <w:t xml:space="preserve"> все заявки с</w:t>
      </w:r>
      <w:r>
        <w:t xml:space="preserve"> </w:t>
      </w:r>
      <w:r>
        <w:t xml:space="preserve">участием таких лиц будут отклонены без рассмотрения по существу.</w:t>
      </w:r>
      <w:r/>
    </w:p>
    <w:p>
      <w:pPr>
        <w:pStyle w:val="1115"/>
      </w:pPr>
      <w:r>
        <w:t xml:space="preserve"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Приложени</w:t>
        </w:r>
        <w:r>
          <w:rPr>
            <w:rStyle w:val="1143"/>
          </w:rPr>
          <w:t xml:space="preserve">е</w:t>
        </w:r>
        <w:r>
          <w:rPr>
            <w:rStyle w:val="1143"/>
          </w:rPr>
          <w:t xml:space="preserve"> № 3</w:t>
        </w:r>
      </w:hyperlink>
      <w:r>
        <w:rPr>
          <w:rStyle w:val="1143"/>
        </w:rPr>
        <w:t xml:space="preserve">)</w:t>
      </w:r>
      <w:r>
        <w:t xml:space="preserve">, </w:t>
      </w:r>
      <w:r>
        <w:t xml:space="preserve">а также при</w:t>
      </w:r>
      <w:r>
        <w:t xml:space="preserve"> </w:t>
      </w:r>
      <w:r>
        <w:t xml:space="preserve">несоблюдении вышеуказанных норм настоящего подраздела заявка такого Коллективного участника отклоняется</w:t>
      </w:r>
      <w:r>
        <w:t xml:space="preserve">.</w:t>
      </w:r>
      <w:r/>
    </w:p>
    <w:p>
      <w:pPr>
        <w:pStyle w:val="1115"/>
      </w:pPr>
      <w:r>
        <w:t xml:space="preserve"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  <w:r/>
    </w:p>
    <w:p>
      <w:pPr>
        <w:pStyle w:val="1115"/>
      </w:pPr>
      <w:r>
        <w:t xml:space="preserve"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  <w:r/>
    </w:p>
    <w:p>
      <w:pPr>
        <w:pStyle w:val="1114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15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5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5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6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6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6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5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6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6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9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5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>
        <w:t xml:space="preserve"> </w:t>
      </w:r>
      <w:r>
        <w:fldChar w:fldCharType="begin"/>
      </w:r>
      <w:r>
        <w:instrText xml:space="preserve"> REF _Ref130308203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15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5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14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15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4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9"/>
      </w:pPr>
      <w:r/>
      <w:bookmarkStart w:id="74" w:name="_Ref125362061"/>
      <w:r/>
      <w:r/>
    </w:p>
    <w:p>
      <w:pPr>
        <w:pStyle w:val="111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4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15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5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5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15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4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15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5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5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3"/>
          </w:rPr>
          <w:t xml:space="preserve">Приложением № </w:t>
        </w:r>
        <w:r>
          <w:rPr>
            <w:rStyle w:val="1143"/>
          </w:rPr>
          <w:t xml:space="preserve">6</w:t>
        </w:r>
        <w:r>
          <w:rPr>
            <w:rStyle w:val="1143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.</w:t>
      </w:r>
      <w:r/>
    </w:p>
    <w:p>
      <w:pPr>
        <w:pStyle w:val="1115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3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5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5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5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5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5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15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5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5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5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5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15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требованиях (Приложение №</w:t>
        </w:r>
        <w:r>
          <w:rPr>
            <w:rStyle w:val="1143"/>
          </w:rPr>
          <w:t xml:space="preserve"> </w:t>
        </w:r>
        <w:r>
          <w:rPr>
            <w:rStyle w:val="1143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15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требованиях (Приложение №</w:t>
        </w:r>
        <w:r>
          <w:rPr>
            <w:rStyle w:val="1143"/>
          </w:rPr>
          <w:t xml:space="preserve"> </w:t>
        </w:r>
        <w:r>
          <w:rPr>
            <w:rStyle w:val="1143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5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</w:t>
        </w:r>
        <w:r>
          <w:rPr>
            <w:rStyle w:val="1143"/>
          </w:rPr>
          <w:t xml:space="preserve">х</w:t>
        </w:r>
        <w:r>
          <w:rPr>
            <w:rStyle w:val="1143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5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15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15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6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6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15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6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6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5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6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16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6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6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6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5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4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15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5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5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5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5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5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</w:t>
        </w:r>
        <w:r>
          <w:rPr>
            <w:rStyle w:val="1143"/>
          </w:rPr>
          <w:t xml:space="preserve">роекта </w:t>
        </w:r>
        <w:r>
          <w:rPr>
            <w:rStyle w:val="1143"/>
          </w:rPr>
          <w:t xml:space="preserve">д</w:t>
        </w:r>
        <w:r>
          <w:rPr>
            <w:rStyle w:val="1143"/>
          </w:rPr>
          <w:t xml:space="preserve">оговора</w:t>
        </w:r>
        <w:r>
          <w:rPr>
            <w:rStyle w:val="1143"/>
          </w:rPr>
          <w:t xml:space="preserve"> (Приложения № 2)</w:t>
        </w:r>
      </w:hyperlink>
      <w:r>
        <w:rPr>
          <w:rStyle w:val="1143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5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4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15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5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16"/>
      </w:pPr>
      <w:r>
        <w:t xml:space="preserve">рассмотрения первых частей заявок;</w:t>
      </w:r>
      <w:r/>
    </w:p>
    <w:p>
      <w:pPr>
        <w:pStyle w:val="1116"/>
      </w:pPr>
      <w:r>
        <w:t xml:space="preserve">проведения аукциона;</w:t>
      </w:r>
      <w:r/>
    </w:p>
    <w:p>
      <w:pPr>
        <w:pStyle w:val="1116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6"/>
      </w:pPr>
      <w:r>
        <w:t xml:space="preserve">подведения итогов закупки;</w:t>
      </w:r>
      <w:r/>
    </w:p>
    <w:p>
      <w:pPr>
        <w:pStyle w:val="1119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15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5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6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6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5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4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15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5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5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5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5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5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5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4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15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5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5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5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4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15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15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14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15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5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3"/>
          </w:rPr>
          <w:t xml:space="preserve">О</w:t>
        </w:r>
        <w:r>
          <w:rPr>
            <w:rStyle w:val="1143"/>
          </w:rPr>
          <w:t xml:space="preserve">тборочным критериям</w:t>
        </w:r>
        <w:r>
          <w:rPr>
            <w:rStyle w:val="1143"/>
          </w:rPr>
          <w:t xml:space="preserve"> рассмотрения заявок (Приложение № </w:t>
        </w:r>
        <w:r>
          <w:rPr>
            <w:rStyle w:val="1143"/>
          </w:rPr>
          <w:t xml:space="preserve">7</w:t>
        </w:r>
        <w:r>
          <w:rPr>
            <w:rStyle w:val="1143"/>
          </w:rPr>
          <w:t xml:space="preserve">)</w:t>
        </w:r>
      </w:hyperlink>
      <w:r>
        <w:t xml:space="preserve">.</w:t>
      </w:r>
      <w:r/>
    </w:p>
    <w:p>
      <w:pPr>
        <w:pStyle w:val="1115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5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16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7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7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7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6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 (</w:t>
      </w:r>
      <w:r>
        <w:t xml:space="preserve">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t xml:space="preserve"> </w:t>
      </w:r>
      <w:r>
        <w:t xml:space="preserve">национальном режиме</w:t>
      </w:r>
      <w:r>
        <w:t xml:space="preserve">)</w:t>
      </w:r>
      <w:r>
        <w:t xml:space="preserve">;</w:t>
      </w:r>
      <w:r/>
    </w:p>
    <w:p>
      <w:pPr>
        <w:pStyle w:val="1116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6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5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7"/>
        </w:rPr>
        <w:footnoteReference w:id="5"/>
      </w:r>
      <w:r>
        <w:t xml:space="preserve">:</w:t>
      </w:r>
      <w:r/>
    </w:p>
    <w:p>
      <w:pPr>
        <w:pStyle w:val="1116"/>
      </w:pPr>
      <w:r>
        <w:t xml:space="preserve">дата подписания протокола;</w:t>
      </w:r>
      <w:r/>
    </w:p>
    <w:p>
      <w:pPr>
        <w:pStyle w:val="1116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6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6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7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7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6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5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4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15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5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5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5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5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5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5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5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5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5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5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3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15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4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15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15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5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4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15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5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3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5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5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16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7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7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17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16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6"/>
      </w:pPr>
      <w:r>
        <w:t xml:space="preserve">несоответствие Участников требованиям Документации о закупке;</w:t>
      </w:r>
      <w:r/>
    </w:p>
    <w:p>
      <w:pPr>
        <w:pStyle w:val="1116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6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5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7"/>
        </w:rPr>
        <w:footnoteReference w:id="6"/>
      </w:r>
      <w:r>
        <w:t xml:space="preserve">:</w:t>
      </w:r>
      <w:r/>
    </w:p>
    <w:p>
      <w:pPr>
        <w:pStyle w:val="1116"/>
      </w:pPr>
      <w:r>
        <w:t xml:space="preserve">дата подписания протокола;</w:t>
      </w:r>
      <w:r/>
    </w:p>
    <w:p>
      <w:pPr>
        <w:pStyle w:val="1116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6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6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7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7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6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5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4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15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5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4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15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3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5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16"/>
      </w:pPr>
      <w:r>
        <w:t xml:space="preserve">в результате суммирования единичных расценок;</w:t>
      </w:r>
      <w:r/>
    </w:p>
    <w:p>
      <w:pPr>
        <w:pStyle w:val="1116"/>
      </w:pPr>
      <w:r>
        <w:t xml:space="preserve">в итогах умножения единичных расценок на объем продукции;</w:t>
      </w:r>
      <w:r/>
    </w:p>
    <w:p>
      <w:pPr>
        <w:pStyle w:val="1116"/>
      </w:pPr>
      <w:r>
        <w:t xml:space="preserve">в вычислении суммы НДС и итоговой стоимости заявки с учетом НДС;</w:t>
      </w:r>
      <w:r/>
    </w:p>
    <w:p>
      <w:pPr>
        <w:pStyle w:val="1116"/>
      </w:pPr>
      <w:r>
        <w:t xml:space="preserve">иных внутренних противоречий в составе заявки,</w:t>
      </w:r>
      <w:r/>
    </w:p>
    <w:p>
      <w:pPr>
        <w:pStyle w:val="1119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5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6"/>
      </w:pPr>
      <w:r>
        <w:t xml:space="preserve">недостоверных сведений</w:t>
      </w:r>
      <w:r>
        <w:rPr>
          <w:rStyle w:val="1127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16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15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4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15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16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7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7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17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6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6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7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15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5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5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5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5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5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5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4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15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3"/>
          </w:rPr>
          <w:t xml:space="preserve">Порядком и критериями оценки и сопоставления заявок (Приложение № </w:t>
        </w:r>
        <w:r>
          <w:rPr>
            <w:rStyle w:val="1143"/>
          </w:rPr>
          <w:t xml:space="preserve">8</w:t>
        </w:r>
        <w:r>
          <w:rPr>
            <w:rStyle w:val="1143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6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6"/>
      </w:pPr>
      <w:r>
        <w:t xml:space="preserve">в едином базисе без учета НДС.</w:t>
      </w:r>
      <w:r/>
    </w:p>
    <w:p>
      <w:pPr>
        <w:pStyle w:val="1115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5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7"/>
        </w:rPr>
        <w:footnoteReference w:id="9"/>
      </w:r>
      <w:r>
        <w:t xml:space="preserve">.</w:t>
      </w:r>
      <w:r/>
    </w:p>
    <w:p>
      <w:pPr>
        <w:pStyle w:val="1115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4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15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4.9,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1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4.9,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1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7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15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43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4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15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5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5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5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7"/>
        </w:rPr>
        <w:footnoteReference w:id="11"/>
      </w:r>
      <w:r>
        <w:t xml:space="preserve">:</w:t>
      </w:r>
      <w:bookmarkEnd w:id="169"/>
      <w:r/>
      <w:r/>
    </w:p>
    <w:p>
      <w:pPr>
        <w:pStyle w:val="1116"/>
      </w:pPr>
      <w:r>
        <w:t xml:space="preserve">дата подписания протокола;</w:t>
      </w:r>
      <w:r/>
    </w:p>
    <w:p>
      <w:pPr>
        <w:pStyle w:val="1116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6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6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7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7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6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7"/>
      </w:pPr>
      <w:r>
        <w:t xml:space="preserve">количества заявок, которые были отклонены;</w:t>
      </w:r>
      <w:r/>
    </w:p>
    <w:p>
      <w:pPr>
        <w:pStyle w:val="1117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6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6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6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9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5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5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5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4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15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16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6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6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6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6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15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5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16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16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16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14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15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5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5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4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15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5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5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5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7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5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5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5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5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6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6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6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6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6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6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6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6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6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6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6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16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6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5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5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5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5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5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5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16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6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3"/>
          </w:rPr>
          <w:t xml:space="preserve">Проектом договора</w:t>
        </w:r>
      </w:hyperlink>
      <w:r>
        <w:t xml:space="preserve">).</w:t>
      </w:r>
      <w:r/>
    </w:p>
    <w:p>
      <w:pPr>
        <w:pStyle w:val="1115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5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6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6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6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6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6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5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4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15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5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5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5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5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6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6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15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3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14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15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4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15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15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  <w:t xml:space="preserve"> </w:t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5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Приложением № </w:t>
        </w:r>
        <w:r>
          <w:rPr>
            <w:rStyle w:val="1143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15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Приложением № 5</w:t>
        </w:r>
      </w:hyperlink>
      <w:r>
        <w:t xml:space="preserve">.</w:t>
      </w:r>
      <w:r/>
    </w:p>
    <w:p>
      <w:pPr>
        <w:pStyle w:val="1115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3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127"/>
        </w:rPr>
        <w:footnoteReference w:id="13"/>
      </w:r>
      <w:r>
        <w:t xml:space="preserve">:</w:t>
      </w:r>
      <w:bookmarkEnd w:id="209"/>
      <w:r/>
      <w:r/>
    </w:p>
    <w:p>
      <w:pPr>
        <w:pStyle w:val="1116"/>
        <w:keepNext/>
      </w:pPr>
      <w:r>
        <w:t xml:space="preserve">для юридического лица:</w:t>
      </w:r>
      <w:r/>
    </w:p>
    <w:p>
      <w:pPr>
        <w:pStyle w:val="1117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7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17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6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6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16"/>
      </w:pPr>
      <w:r/>
      <w:bookmarkStart w:id="211" w:name="_Ref125361554"/>
      <w:r>
        <w:t xml:space="preserve">е</w:t>
      </w:r>
      <w:r>
        <w:t xml:space="preserve">сли Договор заключается с лидером Коллективного участника, то</w:t>
      </w:r>
      <w:r>
        <w:t xml:space="preserve"> </w:t>
      </w:r>
      <w:r>
        <w:t xml:space="preserve">в</w:t>
      </w:r>
      <w:r>
        <w:t xml:space="preserve"> </w:t>
      </w:r>
      <w:r>
        <w:t xml:space="preserve">обязательном порядке </w:t>
      </w:r>
      <w:r>
        <w:t xml:space="preserve">предоставляется оригинал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нотариально заверенная копия Соглашения между членами Коллективного участника, указанного в пункте</w:t>
      </w:r>
      <w:r>
        <w:t xml:space="preserve"> </w:t>
      </w:r>
      <w:r>
        <w:fldChar w:fldCharType="begin"/>
      </w:r>
      <w:r>
        <w:instrText xml:space="preserve"> REF _Ref125366972 \r \h </w:instrText>
      </w:r>
      <w:r>
        <w:fldChar w:fldCharType="separate"/>
      </w:r>
      <w:r>
        <w:t xml:space="preserve">3.2.3</w:t>
      </w:r>
      <w:r>
        <w:fldChar w:fldCharType="end"/>
      </w:r>
      <w:r>
        <w:t xml:space="preserve">.</w:t>
      </w:r>
      <w:bookmarkEnd w:id="211"/>
      <w:r/>
      <w:r/>
    </w:p>
    <w:p>
      <w:pPr>
        <w:pStyle w:val="1115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5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5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16"/>
      </w:pPr>
      <w:r>
        <w:t xml:space="preserve">итоговый протокол по результатам закупки;</w:t>
      </w:r>
      <w:r/>
    </w:p>
    <w:p>
      <w:pPr>
        <w:pStyle w:val="1116"/>
      </w:pPr>
      <w:r>
        <w:t xml:space="preserve">Извещение и Документация о закупке со всеми изменениями;</w:t>
      </w:r>
      <w:r/>
    </w:p>
    <w:p>
      <w:pPr>
        <w:pStyle w:val="1116"/>
      </w:pPr>
      <w:r>
        <w:t xml:space="preserve">заявка Победителя со всеми дополнениями и разъяснениями.</w:t>
      </w:r>
      <w:r/>
    </w:p>
    <w:p>
      <w:pPr>
        <w:pStyle w:val="1115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5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5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15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15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4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15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6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6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16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Приложение № </w:t>
        </w:r>
        <w:r>
          <w:rPr>
            <w:rStyle w:val="1143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6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3"/>
          </w:rPr>
          <w:t xml:space="preserve">Приложением № </w:t>
        </w:r>
        <w:r>
          <w:rPr>
            <w:rStyle w:val="1143"/>
          </w:rPr>
          <w:t xml:space="preserve">5</w:t>
        </w:r>
      </w:hyperlink>
      <w:r>
        <w:t xml:space="preserve">;</w:t>
      </w:r>
      <w:r/>
    </w:p>
    <w:p>
      <w:pPr>
        <w:pStyle w:val="1116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3"/>
          </w:rPr>
          <w:t xml:space="preserve">Приложения №</w:t>
        </w:r>
        <w:r>
          <w:rPr>
            <w:rStyle w:val="1143"/>
          </w:rPr>
          <w:t xml:space="preserve"> </w:t>
        </w:r>
        <w:r>
          <w:rPr>
            <w:rStyle w:val="1143"/>
          </w:rPr>
          <w:t xml:space="preserve">1 </w:t>
        </w:r>
        <w:r>
          <w:rPr>
            <w:rStyle w:val="1143"/>
          </w:rPr>
          <w:t xml:space="preserve">– </w:t>
        </w:r>
        <w:r>
          <w:rPr>
            <w:rStyle w:val="1143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6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6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9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3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14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15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3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14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15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5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5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5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9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pStyle w:val="1119"/>
      </w:pPr>
      <w:r/>
      <w:r/>
    </w:p>
    <w:p>
      <w:pPr>
        <w:pStyle w:val="111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14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15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14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9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9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9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19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3"/>
                </w:rPr>
                <w:t xml:space="preserve">Приложение №</w:t>
              </w:r>
              <w:r>
                <w:rPr>
                  <w:rStyle w:val="1143"/>
                </w:rPr>
                <w:t xml:space="preserve"> </w:t>
              </w:r>
              <w:r>
                <w:rPr>
                  <w:rStyle w:val="1143"/>
                </w:rPr>
                <w:t xml:space="preserve">1</w:t>
              </w:r>
              <w:r>
                <w:rPr>
                  <w:rStyle w:val="1143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9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9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3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9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7"/>
              </w:rPr>
              <w:footnoteReference w:id="14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7"/>
              </w:rPr>
              <w:footnoteReference w:id="15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4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4"/>
        <w:spacing w:after="120"/>
      </w:pPr>
      <w:r/>
      <w:bookmarkStart w:id="417" w:name="_Toc51"/>
      <w:r/>
      <w:bookmarkStart w:id="289" w:name="_Ref125361531"/>
      <w:r/>
      <w:bookmarkStart w:id="290" w:name="_Ref125369111"/>
      <w:r/>
      <w:bookmarkStart w:id="291" w:name="_Ref125370085"/>
      <w:r/>
      <w:bookmarkStart w:id="292" w:name="_Ref125370145"/>
      <w:r/>
      <w:bookmarkStart w:id="293" w:name="_Ref125370151"/>
      <w:r/>
      <w:bookmarkStart w:id="294" w:name="_Ref125552455"/>
      <w:r/>
      <w:bookmarkStart w:id="295" w:name="_Ref125553500"/>
      <w:r/>
      <w:bookmarkStart w:id="296" w:name="_Ref125553692"/>
      <w:r/>
      <w:bookmarkStart w:id="297" w:name="_Ref125553703"/>
      <w:r/>
      <w:bookmarkStart w:id="298" w:name="_Ref125709228"/>
      <w:r>
        <w:t xml:space="preserve">Дополнительные т</w:t>
      </w:r>
      <w:r>
        <w:t xml:space="preserve">ребования к Коллективным участникам</w:t>
      </w:r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417"/>
      <w:r/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</w:t>
            </w:r>
            <w:r>
              <w:t xml:space="preserve">Коллективн</w:t>
            </w:r>
            <w:r>
              <w:t xml:space="preserve">ому</w:t>
            </w:r>
            <w:r>
              <w:t xml:space="preserve"> у</w:t>
            </w:r>
            <w:r>
              <w:t xml:space="preserve">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документам,</w:t>
            </w:r>
            <w:r>
              <w:t xml:space="preserve"> </w:t>
            </w:r>
            <w:r>
              <w:t xml:space="preserve">подтверждающим соответствие</w:t>
            </w:r>
            <w:r>
              <w:br/>
            </w:r>
            <w:r>
              <w:t xml:space="preserve">Коллективного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00" w:name="_Ref125553738"/>
            <w:r/>
            <w:bookmarkEnd w:id="30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Заявка Коллективного участника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членами Коллективного участника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01" w:name="_Ref125370162"/>
            <w:r/>
            <w:bookmarkEnd w:id="30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каждого члена Коллективного </w:t>
            </w:r>
            <w:r>
              <w:t xml:space="preserve">участника установленным требованиям (</w:t>
            </w:r>
            <w:r>
              <w:t xml:space="preserve">с</w:t>
            </w:r>
            <w:r>
              <w:t xml:space="preserve"> </w:t>
            </w:r>
            <w:r>
              <w:t xml:space="preserve">учетом </w:t>
            </w:r>
            <w:r>
              <w:t xml:space="preserve">пункт</w:t>
            </w:r>
            <w:r>
              <w:t xml:space="preserve">ов</w:t>
            </w:r>
            <w:r>
              <w:t xml:space="preserve"> </w:t>
            </w:r>
            <w:r>
              <w:fldChar w:fldCharType="begin"/>
            </w:r>
            <w:r>
              <w:instrText xml:space="preserve"> REF _Ref125368791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3.2.5</w:t>
            </w:r>
            <w:r>
              <w:fldChar w:fldCharType="end"/>
            </w:r>
            <w:r>
              <w:t xml:space="preserve"> –</w:t>
            </w:r>
            <w:r>
              <w:t xml:space="preserve"> </w:t>
            </w:r>
            <w:r>
              <w:fldChar w:fldCharType="begin"/>
            </w:r>
            <w:r>
              <w:instrText xml:space="preserve"> REF _Ref149654740 \r \h </w:instrText>
            </w:r>
            <w:r>
              <w:fldChar w:fldCharType="separate"/>
            </w:r>
            <w:r>
              <w:t xml:space="preserve">3.2.6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 </w:t>
            </w:r>
            <w:r>
              <w:t xml:space="preserve">объема поставки продукции, который ему</w:t>
            </w:r>
            <w:r>
              <w:t xml:space="preserve"> </w:t>
            </w:r>
            <w:r>
              <w:t xml:space="preserve">предполагается поручить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Планом распределения объемов поставки продукции</w:t>
            </w:r>
            <w:r>
              <w:t xml:space="preserve">, представленным </w:t>
            </w:r>
            <w:r>
              <w:t xml:space="preserve">внутри </w:t>
            </w:r>
            <w:r>
              <w:t xml:space="preserve">Технических требованиях</w:t>
            </w:r>
            <w:r>
              <w:t xml:space="preserve"> (форма </w:t>
            </w:r>
            <w:r>
              <w:t xml:space="preserve">4</w:t>
            </w:r>
            <w:r>
              <w:t xml:space="preserve">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члена Коллективного участника, подтверждающие его соответствие данным требованиям.</w:t>
            </w:r>
            <w:r/>
          </w:p>
        </w:tc>
      </w:tr>
    </w:tbl>
    <w:p>
      <w:pPr>
        <w:pStyle w:val="1114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9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9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14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15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13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14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15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4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15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5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9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4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15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5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5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5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9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113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14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15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3"/>
          </w:rPr>
          <w:t xml:space="preserve">Приложени</w:t>
        </w:r>
        <w:r>
          <w:rPr>
            <w:rStyle w:val="1143"/>
          </w:rPr>
          <w:t xml:space="preserve">и</w:t>
        </w:r>
        <w:r>
          <w:rPr>
            <w:rStyle w:val="1143"/>
          </w:rPr>
          <w:t xml:space="preserve"> № </w:t>
        </w:r>
        <w:r>
          <w:rPr>
            <w:rStyle w:val="1143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4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</w:t>
            </w:r>
            <w:r>
              <w:t xml:space="preserve">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rPr>
                <w:rStyle w:val="1143"/>
              </w:rP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9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5"/>
        <w:rPr>
          <w:rStyle w:val="1124"/>
          <w:i w:val="0"/>
          <w:iCs w:val="0"/>
          <w:shd w:val="clear" w:color="auto" w:fill="auto"/>
        </w:rPr>
      </w:pPr>
      <w:r>
        <w:rPr>
          <w:rStyle w:val="1124"/>
          <w:i w:val="0"/>
          <w:iCs w:val="0"/>
          <w:shd w:val="clear" w:color="auto" w:fill="auto"/>
        </w:rPr>
        <w:t xml:space="preserve">Е</w:t>
      </w:r>
      <w:r>
        <w:rPr>
          <w:rStyle w:val="1124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4"/>
          <w:i w:val="0"/>
          <w:iCs w:val="0"/>
          <w:shd w:val="clear" w:color="auto" w:fill="auto"/>
        </w:rPr>
        <w:t xml:space="preserve"> </w:t>
      </w:r>
      <w:r>
        <w:rPr>
          <w:rStyle w:val="1124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4"/>
          <w:i w:val="0"/>
          <w:iCs w:val="0"/>
          <w:shd w:val="clear" w:color="auto" w:fill="auto"/>
        </w:rPr>
        <w:t xml:space="preserve"> </w:t>
      </w:r>
      <w:r>
        <w:rPr>
          <w:rStyle w:val="1124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4"/>
          <w:i w:val="0"/>
          <w:iCs w:val="0"/>
          <w:shd w:val="clear" w:color="auto" w:fill="auto"/>
        </w:rPr>
        <w:t xml:space="preserve"> </w:t>
      </w:r>
      <w:r>
        <w:rPr>
          <w:rStyle w:val="1124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19"/>
        <w:rPr>
          <w:rStyle w:val="1124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13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14"/>
        <w:spacing w:after="120"/>
        <w:rPr>
          <w:rStyle w:val="1124"/>
          <w:i w:val="0"/>
          <w:iCs w:val="0"/>
          <w:shd w:val="clear" w:color="auto" w:fill="auto"/>
        </w:rPr>
      </w:pPr>
      <w:r/>
      <w:bookmarkStart w:id="428" w:name="_Toc62"/>
      <w:r>
        <w:rPr>
          <w:rStyle w:val="1124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4"/>
          <w:i w:val="0"/>
          <w:iCs w:val="0"/>
          <w:shd w:val="clear" w:color="auto" w:fill="auto"/>
        </w:rPr>
        <w:t xml:space="preserve">первых частей </w:t>
      </w:r>
      <w:r>
        <w:rPr>
          <w:rStyle w:val="1124"/>
          <w:i w:val="0"/>
          <w:iCs w:val="0"/>
          <w:shd w:val="clear" w:color="auto" w:fill="auto"/>
        </w:rPr>
        <w:t xml:space="preserve">заявок</w:t>
      </w:r>
      <w:r>
        <w:rPr>
          <w:rStyle w:val="1124"/>
          <w:i w:val="0"/>
          <w:iCs w:val="0"/>
          <w:shd w:val="clear" w:color="auto" w:fill="auto"/>
        </w:rPr>
      </w:r>
      <w:bookmarkEnd w:id="428"/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rStyle w:val="1143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Приложение № 6</w:t>
              </w:r>
            </w:hyperlink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3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t xml:space="preserve"> </w:t>
            </w:r>
            <w:r>
              <w:t xml:space="preserve">информации и перечню документов, которые подтверждают страну </w:t>
            </w:r>
            <w: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_Ref149656148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_Ref149656148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3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3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3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3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4"/>
        <w:spacing w:after="120"/>
        <w:rPr>
          <w:rStyle w:val="1124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24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24"/>
          <w:i w:val="0"/>
          <w:iCs w:val="0"/>
          <w:shd w:val="clear" w:color="auto" w:fill="auto"/>
        </w:rPr>
      </w:r>
      <w:bookmarkEnd w:id="429"/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rStyle w:val="1143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Приложение № 6</w:t>
              </w:r>
            </w:hyperlink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9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Коллективного участника установленным </w:t>
            </w:r>
            <w:r>
              <w:t xml:space="preserve">в отношении его требованиям</w:t>
            </w:r>
            <w:r>
              <w:t xml:space="preserve">:</w:t>
            </w:r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 xml:space="preserve">рассмотрения заявки, поданной Коллективным участником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в части</w:t>
            </w:r>
            <w:r>
              <w:t xml:space="preserve"> требований</w:t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_Ref125370162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  <w:p>
            <w:pPr>
              <w:pStyle w:val="1119"/>
              <w:ind w:left="28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 (при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необходимости).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9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3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3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</w:t>
              </w:r>
              <w:r>
                <w:rPr>
                  <w:rStyle w:val="1143"/>
                </w:rPr>
                <w:t xml:space="preserve">х</w:t>
              </w:r>
              <w:r>
                <w:rPr>
                  <w:rStyle w:val="1143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4"/>
        <w:spacing w:after="120"/>
        <w:rPr>
          <w:rStyle w:val="1124"/>
          <w:i w:val="0"/>
          <w:iCs w:val="0"/>
          <w:shd w:val="clear" w:color="auto" w:fill="auto"/>
        </w:rPr>
      </w:pPr>
      <w:r/>
      <w:bookmarkStart w:id="430" w:name="_Toc64"/>
      <w:r>
        <w:rPr>
          <w:rStyle w:val="1124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4"/>
          <w:i w:val="0"/>
          <w:iCs w:val="0"/>
          <w:shd w:val="clear" w:color="auto" w:fill="auto"/>
        </w:rPr>
      </w:r>
      <w:bookmarkEnd w:id="430"/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19"/>
              <w:jc w:val="center"/>
              <w:rPr>
                <w:rStyle w:val="1143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3"/>
                </w:rPr>
                <w:t xml:space="preserve">Приложение № 6</w:t>
              </w:r>
            </w:hyperlink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9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Технически</w:t>
              </w:r>
              <w:r>
                <w:rPr>
                  <w:rStyle w:val="1143"/>
                </w:rPr>
                <w:t xml:space="preserve">х</w:t>
              </w:r>
              <w:r>
                <w:rPr>
                  <w:rStyle w:val="1143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9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3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3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4"/>
        <w:rPr>
          <w:rStyle w:val="1124"/>
          <w:i w:val="0"/>
          <w:iCs w:val="0"/>
          <w:shd w:val="clear" w:color="auto" w:fill="auto"/>
        </w:rPr>
      </w:pPr>
      <w:r/>
      <w:bookmarkStart w:id="431" w:name="_Toc65"/>
      <w:r>
        <w:rPr>
          <w:rStyle w:val="1124"/>
          <w:i w:val="0"/>
          <w:iCs w:val="0"/>
          <w:shd w:val="clear" w:color="auto" w:fill="auto"/>
        </w:rPr>
        <w:t xml:space="preserve">Дополнительные</w:t>
      </w:r>
      <w:r>
        <w:rPr>
          <w:rStyle w:val="1124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4"/>
          <w:i w:val="0"/>
          <w:iCs w:val="0"/>
          <w:shd w:val="clear" w:color="auto" w:fill="auto"/>
        </w:rPr>
        <w:t xml:space="preserve">ок</w:t>
      </w:r>
      <w:r>
        <w:rPr>
          <w:rStyle w:val="1124"/>
          <w:i w:val="0"/>
          <w:iCs w:val="0"/>
          <w:shd w:val="clear" w:color="auto" w:fill="auto"/>
        </w:rPr>
        <w:t xml:space="preserve"> на соответстви</w:t>
      </w:r>
      <w:r>
        <w:rPr>
          <w:rStyle w:val="1124"/>
          <w:i w:val="0"/>
          <w:iCs w:val="0"/>
          <w:shd w:val="clear" w:color="auto" w:fill="auto"/>
        </w:rPr>
        <w:t xml:space="preserve">е</w:t>
      </w:r>
      <w:r>
        <w:rPr>
          <w:rStyle w:val="1124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24"/>
          <w:i w:val="0"/>
          <w:iCs w:val="0"/>
          <w:shd w:val="clear" w:color="auto" w:fill="auto"/>
        </w:rPr>
      </w:r>
      <w:bookmarkEnd w:id="431"/>
      <w:r>
        <w:rPr>
          <w:rStyle w:val="1124"/>
          <w:i w:val="0"/>
          <w:iCs w:val="0"/>
          <w:shd w:val="clear" w:color="auto" w:fill="auto"/>
        </w:rPr>
      </w:r>
      <w:r>
        <w:rPr>
          <w:rStyle w:val="1124"/>
          <w:i w:val="0"/>
          <w:iCs w:val="0"/>
          <w:shd w:val="clear" w:color="auto" w:fill="auto"/>
        </w:rPr>
      </w:r>
    </w:p>
    <w:p>
      <w:pPr>
        <w:pStyle w:val="1119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4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9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9"/>
              <w:jc w:val="center"/>
              <w:rPr>
                <w:rStyle w:val="1143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3"/>
                </w:rPr>
                <w:t xml:space="preserve">Приложение № 4</w:t>
              </w:r>
            </w:hyperlink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9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9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9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9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9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9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9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9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9"/>
      </w:pPr>
      <w:r/>
      <w:r/>
    </w:p>
    <w:p>
      <w:pPr>
        <w:pStyle w:val="111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14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15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7"/>
        </w:rPr>
        <w:footnoteReference w:id="16"/>
      </w:r>
      <w:r>
        <w:t xml:space="preserve">.</w:t>
      </w:r>
      <w:r/>
    </w:p>
    <w:p>
      <w:pPr>
        <w:pStyle w:val="1115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9"/>
      </w:pPr>
      <w:r/>
      <w:r/>
    </w:p>
    <w:p>
      <w:pPr>
        <w:pStyle w:val="111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14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15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3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14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15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15"/>
      </w:pPr>
      <w:r>
        <w:rPr>
          <w:highlight w:val="none"/>
        </w:rPr>
      </w:r>
      <w:r>
        <w:rPr>
          <w:highlight w:val="yellow"/>
        </w:rPr>
        <w:t xml:space="preserve">Участнику необходимо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  <w:u w:val="single"/>
        </w:rPr>
        <w:t xml:space="preserve">в формате Excel.</w:t>
      </w:r>
      <w:r>
        <w:rPr>
          <w:highlight w:val="none"/>
        </w:rPr>
      </w:r>
      <w:r/>
    </w:p>
    <w:p>
      <w:pPr>
        <w:pStyle w:val="1119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Liberation Serif">
    <w:panose1 w:val="02020603050405020304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2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8"/>
      </w:pPr>
      <w:r>
        <w:rPr>
          <w:rStyle w:val="112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28"/>
      </w:pPr>
      <w:r>
        <w:rPr>
          <w:rStyle w:val="112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28"/>
      </w:pPr>
      <w:r>
        <w:rPr>
          <w:rStyle w:val="112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4.18.5</w:t>
      </w:r>
      <w:r>
        <w:fldChar w:fldCharType="end"/>
      </w:r>
      <w:r>
        <w:t xml:space="preserve">.</w:t>
      </w:r>
      <w:r/>
    </w:p>
  </w:footnote>
  <w:footnote w:id="8">
    <w:p>
      <w:pPr>
        <w:pStyle w:val="1125"/>
        <w:ind w:left="567" w:hanging="567"/>
        <w:jc w:val="both"/>
        <w:rPr>
          <w:sz w:val="22"/>
        </w:rPr>
      </w:pPr>
      <w:r>
        <w:rPr>
          <w:rStyle w:val="112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28"/>
      </w:pPr>
      <w:r>
        <w:rPr>
          <w:rStyle w:val="1127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28"/>
      </w:pPr>
      <w:r>
        <w:rPr>
          <w:rStyle w:val="112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28"/>
      </w:pPr>
      <w:r>
        <w:rPr>
          <w:rStyle w:val="1127"/>
        </w:rPr>
        <w:footnoteRef/>
      </w:r>
      <w:r>
        <w:tab/>
        <w:t xml:space="preserve">Коллективный участник предоставляет указанные документы на каждого члена.</w:t>
      </w:r>
      <w:r/>
    </w:p>
  </w:footnote>
  <w:footnote w:id="14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5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6">
    <w:p>
      <w:pPr>
        <w:pStyle w:val="1128"/>
      </w:pPr>
      <w:r>
        <w:rPr>
          <w:rStyle w:val="1127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1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4" w:hanging="360"/>
      </w:pPr>
      <w:rPr>
        <w:rFonts w:hint="default" w:ascii="Times New Roman" w:hAnsi="Times New Roman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4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7">
    <w:name w:val="Heading 1 Char"/>
    <w:basedOn w:val="1110"/>
    <w:link w:val="1107"/>
    <w:uiPriority w:val="9"/>
    <w:rPr>
      <w:rFonts w:ascii="Arial" w:hAnsi="Arial" w:eastAsia="Arial" w:cs="Arial"/>
      <w:sz w:val="40"/>
      <w:szCs w:val="40"/>
    </w:rPr>
  </w:style>
  <w:style w:type="character" w:styleId="948">
    <w:name w:val="Heading 2 Char"/>
    <w:basedOn w:val="1110"/>
    <w:link w:val="1108"/>
    <w:uiPriority w:val="9"/>
    <w:rPr>
      <w:rFonts w:ascii="Arial" w:hAnsi="Arial" w:eastAsia="Arial" w:cs="Arial"/>
      <w:sz w:val="34"/>
    </w:rPr>
  </w:style>
  <w:style w:type="character" w:styleId="949">
    <w:name w:val="Heading 3 Char"/>
    <w:basedOn w:val="1110"/>
    <w:link w:val="1109"/>
    <w:uiPriority w:val="9"/>
    <w:rPr>
      <w:rFonts w:ascii="Arial" w:hAnsi="Arial" w:eastAsia="Arial" w:cs="Arial"/>
      <w:sz w:val="30"/>
      <w:szCs w:val="30"/>
    </w:rPr>
  </w:style>
  <w:style w:type="paragraph" w:styleId="950">
    <w:name w:val="Heading 4"/>
    <w:basedOn w:val="1106"/>
    <w:next w:val="1106"/>
    <w:link w:val="9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51">
    <w:name w:val="Heading 4 Char"/>
    <w:basedOn w:val="1110"/>
    <w:link w:val="950"/>
    <w:uiPriority w:val="9"/>
    <w:rPr>
      <w:rFonts w:ascii="Arial" w:hAnsi="Arial" w:eastAsia="Arial" w:cs="Arial"/>
      <w:b/>
      <w:bCs/>
      <w:sz w:val="26"/>
      <w:szCs w:val="26"/>
    </w:rPr>
  </w:style>
  <w:style w:type="paragraph" w:styleId="952">
    <w:name w:val="Heading 5"/>
    <w:basedOn w:val="1106"/>
    <w:next w:val="1106"/>
    <w:link w:val="9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3">
    <w:name w:val="Heading 5 Char"/>
    <w:basedOn w:val="1110"/>
    <w:link w:val="952"/>
    <w:uiPriority w:val="9"/>
    <w:rPr>
      <w:rFonts w:ascii="Arial" w:hAnsi="Arial" w:eastAsia="Arial" w:cs="Arial"/>
      <w:b/>
      <w:bCs/>
      <w:sz w:val="24"/>
      <w:szCs w:val="24"/>
    </w:rPr>
  </w:style>
  <w:style w:type="paragraph" w:styleId="954">
    <w:name w:val="Heading 6"/>
    <w:basedOn w:val="1106"/>
    <w:next w:val="1106"/>
    <w:link w:val="9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5">
    <w:name w:val="Heading 6 Char"/>
    <w:basedOn w:val="1110"/>
    <w:link w:val="954"/>
    <w:uiPriority w:val="9"/>
    <w:rPr>
      <w:rFonts w:ascii="Arial" w:hAnsi="Arial" w:eastAsia="Arial" w:cs="Arial"/>
      <w:b/>
      <w:bCs/>
      <w:sz w:val="22"/>
      <w:szCs w:val="22"/>
    </w:rPr>
  </w:style>
  <w:style w:type="paragraph" w:styleId="956">
    <w:name w:val="Heading 7"/>
    <w:basedOn w:val="1106"/>
    <w:next w:val="1106"/>
    <w:link w:val="9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7">
    <w:name w:val="Heading 7 Char"/>
    <w:basedOn w:val="1110"/>
    <w:link w:val="9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8">
    <w:name w:val="Heading 8"/>
    <w:basedOn w:val="1106"/>
    <w:next w:val="1106"/>
    <w:link w:val="9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9">
    <w:name w:val="Heading 8 Char"/>
    <w:basedOn w:val="1110"/>
    <w:link w:val="958"/>
    <w:uiPriority w:val="9"/>
    <w:rPr>
      <w:rFonts w:ascii="Arial" w:hAnsi="Arial" w:eastAsia="Arial" w:cs="Arial"/>
      <w:i/>
      <w:iCs/>
      <w:sz w:val="22"/>
      <w:szCs w:val="22"/>
    </w:rPr>
  </w:style>
  <w:style w:type="paragraph" w:styleId="960">
    <w:name w:val="Heading 9"/>
    <w:basedOn w:val="1106"/>
    <w:next w:val="1106"/>
    <w:link w:val="9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1">
    <w:name w:val="Heading 9 Char"/>
    <w:basedOn w:val="1110"/>
    <w:link w:val="960"/>
    <w:uiPriority w:val="9"/>
    <w:rPr>
      <w:rFonts w:ascii="Arial" w:hAnsi="Arial" w:eastAsia="Arial" w:cs="Arial"/>
      <w:i/>
      <w:iCs/>
      <w:sz w:val="21"/>
      <w:szCs w:val="21"/>
    </w:rPr>
  </w:style>
  <w:style w:type="paragraph" w:styleId="962">
    <w:name w:val="No Spacing"/>
    <w:uiPriority w:val="1"/>
    <w:qFormat/>
    <w:pPr>
      <w:spacing w:before="0" w:after="0" w:line="240" w:lineRule="auto"/>
    </w:pPr>
  </w:style>
  <w:style w:type="paragraph" w:styleId="963">
    <w:name w:val="Title"/>
    <w:basedOn w:val="1106"/>
    <w:next w:val="1106"/>
    <w:link w:val="9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4">
    <w:name w:val="Title Char"/>
    <w:basedOn w:val="1110"/>
    <w:link w:val="963"/>
    <w:uiPriority w:val="10"/>
    <w:rPr>
      <w:sz w:val="48"/>
      <w:szCs w:val="48"/>
    </w:rPr>
  </w:style>
  <w:style w:type="paragraph" w:styleId="965">
    <w:name w:val="Subtitle"/>
    <w:basedOn w:val="1106"/>
    <w:next w:val="1106"/>
    <w:link w:val="966"/>
    <w:uiPriority w:val="11"/>
    <w:qFormat/>
    <w:pPr>
      <w:spacing w:before="200" w:after="200"/>
    </w:pPr>
    <w:rPr>
      <w:sz w:val="24"/>
      <w:szCs w:val="24"/>
    </w:rPr>
  </w:style>
  <w:style w:type="character" w:styleId="966">
    <w:name w:val="Subtitle Char"/>
    <w:basedOn w:val="1110"/>
    <w:link w:val="965"/>
    <w:uiPriority w:val="11"/>
    <w:rPr>
      <w:sz w:val="24"/>
      <w:szCs w:val="24"/>
    </w:rPr>
  </w:style>
  <w:style w:type="paragraph" w:styleId="967">
    <w:name w:val="Quote"/>
    <w:basedOn w:val="1106"/>
    <w:next w:val="1106"/>
    <w:link w:val="968"/>
    <w:uiPriority w:val="29"/>
    <w:qFormat/>
    <w:pPr>
      <w:ind w:left="720" w:right="720"/>
    </w:pPr>
    <w:rPr>
      <w:i/>
    </w:rPr>
  </w:style>
  <w:style w:type="character" w:styleId="968">
    <w:name w:val="Quote Char"/>
    <w:link w:val="967"/>
    <w:uiPriority w:val="29"/>
    <w:rPr>
      <w:i/>
    </w:rPr>
  </w:style>
  <w:style w:type="paragraph" w:styleId="969">
    <w:name w:val="Intense Quote"/>
    <w:basedOn w:val="1106"/>
    <w:next w:val="1106"/>
    <w:link w:val="9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0">
    <w:name w:val="Intense Quote Char"/>
    <w:link w:val="969"/>
    <w:uiPriority w:val="30"/>
    <w:rPr>
      <w:i/>
    </w:rPr>
  </w:style>
  <w:style w:type="character" w:styleId="971">
    <w:name w:val="Header Char"/>
    <w:basedOn w:val="1110"/>
    <w:link w:val="1120"/>
    <w:uiPriority w:val="99"/>
  </w:style>
  <w:style w:type="character" w:styleId="972">
    <w:name w:val="Footer Char"/>
    <w:basedOn w:val="1110"/>
    <w:link w:val="1122"/>
    <w:uiPriority w:val="99"/>
  </w:style>
  <w:style w:type="paragraph" w:styleId="973">
    <w:name w:val="Caption"/>
    <w:basedOn w:val="1106"/>
    <w:next w:val="1106"/>
    <w:link w:val="9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4">
    <w:name w:val="Caption Char"/>
    <w:basedOn w:val="973"/>
    <w:link w:val="1122"/>
    <w:uiPriority w:val="99"/>
  </w:style>
  <w:style w:type="table" w:styleId="975">
    <w:name w:val="Table Grid Light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6">
    <w:name w:val="Plain Table 1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7">
    <w:name w:val="Plain Table 2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8">
    <w:name w:val="Plain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9">
    <w:name w:val="Plain Table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Plain Table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1">
    <w:name w:val="Grid Table 1 Light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1 Light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Grid Table 1 Light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Grid Table 1 Light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Grid Table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2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2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2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3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3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3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4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3">
    <w:name w:val="Grid Table 4 - Accent 1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4">
    <w:name w:val="Grid Table 4 - Accent 2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Grid Table 4 - Accent 3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6">
    <w:name w:val="Grid Table 4 - Accent 4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Grid Table 4 - Accent 5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8">
    <w:name w:val="Grid Table 4 - Accent 6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9">
    <w:name w:val="Grid Table 5 Dark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3">
    <w:name w:val="Grid Table 5 Dark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4">
    <w:name w:val="Grid Table 5 Dark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5">
    <w:name w:val="Grid Table 5 Dark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6">
    <w:name w:val="Grid Table 6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7">
    <w:name w:val="Grid Table 6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8">
    <w:name w:val="Grid Table 6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9">
    <w:name w:val="Grid Table 6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20">
    <w:name w:val="Grid Table 6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21">
    <w:name w:val="Grid Table 6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2">
    <w:name w:val="Grid Table 6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3">
    <w:name w:val="Grid Table 7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7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7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7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1 Light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List Table 1 Light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List Table 1 Light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List Table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8">
    <w:name w:val="List Table 2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9">
    <w:name w:val="List Table 2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40">
    <w:name w:val="List Table 2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41">
    <w:name w:val="List Table 2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42">
    <w:name w:val="List Table 2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3">
    <w:name w:val="List Table 2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4">
    <w:name w:val="List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3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3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3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4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List Table 4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List Table 4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List Table 5 Dark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5 Dark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3">
    <w:name w:val="List Table 5 Dark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4">
    <w:name w:val="List Table 5 Dark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5">
    <w:name w:val="List Table 6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6">
    <w:name w:val="List Table 6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7">
    <w:name w:val="List Table 6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8">
    <w:name w:val="List Table 6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9">
    <w:name w:val="List Table 6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0">
    <w:name w:val="List Table 6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71">
    <w:name w:val="List Table 6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72">
    <w:name w:val="List Table 7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3">
    <w:name w:val="List Table 7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4">
    <w:name w:val="List Table 7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5">
    <w:name w:val="List Table 7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6">
    <w:name w:val="List Table 7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7">
    <w:name w:val="List Table 7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8">
    <w:name w:val="List Table 7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9">
    <w:name w:val="Lined - Accent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0">
    <w:name w:val="Lined - Accent 1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1">
    <w:name w:val="Lined - Accent 2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2">
    <w:name w:val="Lined - Accent 3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3">
    <w:name w:val="Lined - Accent 4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4">
    <w:name w:val="Lined - Accent 5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5">
    <w:name w:val="Lined - Accent 6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6">
    <w:name w:val="Bordered &amp; Lined - Accent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7">
    <w:name w:val="Bordered &amp; Lined - Accent 1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8">
    <w:name w:val="Bordered &amp; Lined - Accent 2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9">
    <w:name w:val="Bordered &amp; Lined - Accent 3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0">
    <w:name w:val="Bordered &amp; Lined - Accent 4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91">
    <w:name w:val="Bordered &amp; Lined - Accent 5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92">
    <w:name w:val="Bordered &amp; Lined - Accent 6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3">
    <w:name w:val="Bordered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4">
    <w:name w:val="Bordered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5">
    <w:name w:val="Bordered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6">
    <w:name w:val="Bordered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7">
    <w:name w:val="Bordered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8">
    <w:name w:val="Bordered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9">
    <w:name w:val="Bordered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00">
    <w:name w:val="Footnote Text Char"/>
    <w:link w:val="1125"/>
    <w:uiPriority w:val="99"/>
    <w:rPr>
      <w:sz w:val="18"/>
    </w:rPr>
  </w:style>
  <w:style w:type="paragraph" w:styleId="1101">
    <w:name w:val="endnote text"/>
    <w:basedOn w:val="1106"/>
    <w:link w:val="1102"/>
    <w:uiPriority w:val="99"/>
    <w:semiHidden/>
    <w:unhideWhenUsed/>
    <w:pPr>
      <w:spacing w:after="0" w:line="240" w:lineRule="auto"/>
    </w:pPr>
    <w:rPr>
      <w:sz w:val="20"/>
    </w:rPr>
  </w:style>
  <w:style w:type="character" w:styleId="1102">
    <w:name w:val="Endnote Text Char"/>
    <w:link w:val="1101"/>
    <w:uiPriority w:val="99"/>
    <w:rPr>
      <w:sz w:val="20"/>
    </w:rPr>
  </w:style>
  <w:style w:type="character" w:styleId="1103">
    <w:name w:val="endnote reference"/>
    <w:basedOn w:val="1110"/>
    <w:uiPriority w:val="99"/>
    <w:semiHidden/>
    <w:unhideWhenUsed/>
    <w:rPr>
      <w:vertAlign w:val="superscript"/>
    </w:rPr>
  </w:style>
  <w:style w:type="paragraph" w:styleId="1104">
    <w:name w:val="TOC Heading"/>
    <w:uiPriority w:val="39"/>
    <w:unhideWhenUsed/>
  </w:style>
  <w:style w:type="paragraph" w:styleId="1105">
    <w:name w:val="table of figures"/>
    <w:basedOn w:val="1106"/>
    <w:next w:val="1106"/>
    <w:uiPriority w:val="99"/>
    <w:unhideWhenUsed/>
    <w:pPr>
      <w:spacing w:after="0" w:afterAutospacing="0"/>
    </w:pPr>
  </w:style>
  <w:style w:type="paragraph" w:styleId="1106" w:default="1">
    <w:name w:val="Normal"/>
    <w:qFormat/>
  </w:style>
  <w:style w:type="paragraph" w:styleId="1107">
    <w:name w:val="Heading 1"/>
    <w:basedOn w:val="1106"/>
    <w:next w:val="1106"/>
    <w:link w:val="115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8">
    <w:name w:val="Heading 2"/>
    <w:basedOn w:val="1106"/>
    <w:next w:val="1106"/>
    <w:link w:val="115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9">
    <w:name w:val="Heading 3"/>
    <w:basedOn w:val="1106"/>
    <w:next w:val="1106"/>
    <w:link w:val="116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10" w:default="1">
    <w:name w:val="Default Paragraph Font"/>
    <w:uiPriority w:val="1"/>
    <w:semiHidden/>
    <w:unhideWhenUsed/>
  </w:style>
  <w:style w:type="table" w:styleId="11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2" w:default="1">
    <w:name w:val="No List"/>
    <w:uiPriority w:val="99"/>
    <w:semiHidden/>
    <w:unhideWhenUsed/>
  </w:style>
  <w:style w:type="paragraph" w:styleId="1113" w:customStyle="1">
    <w:name w:val="[РГ] Раздел"/>
    <w:basedOn w:val="1106"/>
    <w:next w:val="111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4" w:customStyle="1">
    <w:name w:val="[РГ] Подраздел"/>
    <w:basedOn w:val="1106"/>
    <w:next w:val="111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5" w:customStyle="1">
    <w:name w:val="[РГ] Пункт"/>
    <w:basedOn w:val="1106"/>
    <w:qFormat/>
    <w:pPr>
      <w:numPr>
        <w:ilvl w:val="2"/>
        <w:numId w:val="1"/>
      </w:numPr>
      <w:jc w:val="both"/>
      <w:outlineLvl w:val="2"/>
    </w:pPr>
  </w:style>
  <w:style w:type="paragraph" w:styleId="1116" w:customStyle="1">
    <w:name w:val="[РГ] Подпункт"/>
    <w:basedOn w:val="1106"/>
    <w:qFormat/>
    <w:pPr>
      <w:numPr>
        <w:ilvl w:val="3"/>
        <w:numId w:val="1"/>
      </w:numPr>
      <w:jc w:val="both"/>
      <w:outlineLvl w:val="3"/>
    </w:pPr>
  </w:style>
  <w:style w:type="paragraph" w:styleId="1117" w:customStyle="1">
    <w:name w:val="[РГ] Перечисление"/>
    <w:basedOn w:val="1106"/>
    <w:qFormat/>
    <w:pPr>
      <w:numPr>
        <w:ilvl w:val="4"/>
        <w:numId w:val="1"/>
      </w:numPr>
      <w:jc w:val="both"/>
      <w:outlineLvl w:val="4"/>
    </w:pPr>
  </w:style>
  <w:style w:type="paragraph" w:styleId="1118" w:customStyle="1">
    <w:name w:val="[РГ] Заголовок"/>
    <w:basedOn w:val="1106"/>
    <w:next w:val="111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9" w:customStyle="1">
    <w:name w:val="[РГ] Текст"/>
    <w:basedOn w:val="1106"/>
    <w:qFormat/>
    <w:pPr>
      <w:jc w:val="both"/>
    </w:pPr>
  </w:style>
  <w:style w:type="paragraph" w:styleId="1120">
    <w:name w:val="Header"/>
    <w:basedOn w:val="1106"/>
    <w:link w:val="1121"/>
    <w:uiPriority w:val="99"/>
    <w:unhideWhenUsed/>
    <w:pPr>
      <w:jc w:val="center"/>
      <w:spacing w:before="0" w:after="120"/>
    </w:pPr>
  </w:style>
  <w:style w:type="character" w:styleId="1121" w:customStyle="1">
    <w:name w:val="Верхний колонтитул Знак"/>
    <w:basedOn w:val="1110"/>
    <w:link w:val="1120"/>
    <w:uiPriority w:val="99"/>
  </w:style>
  <w:style w:type="paragraph" w:styleId="1122">
    <w:name w:val="Footer"/>
    <w:basedOn w:val="1106"/>
    <w:link w:val="1123"/>
    <w:unhideWhenUsed/>
    <w:pPr>
      <w:jc w:val="right"/>
    </w:pPr>
  </w:style>
  <w:style w:type="character" w:styleId="1123" w:customStyle="1">
    <w:name w:val="Нижний колонтитул Знак"/>
    <w:basedOn w:val="1110"/>
    <w:link w:val="1122"/>
    <w:uiPriority w:val="99"/>
  </w:style>
  <w:style w:type="character" w:styleId="1124" w:customStyle="1">
    <w:name w:val="[РГ] Инструкция для организатора"/>
    <w:basedOn w:val="1110"/>
    <w:uiPriority w:val="1"/>
    <w:qFormat/>
    <w:rPr>
      <w:i/>
      <w:iCs/>
      <w:shd w:val="clear" w:color="auto" w:fill="ffff99"/>
      <w:lang w:val="ru-RU"/>
    </w:rPr>
  </w:style>
  <w:style w:type="paragraph" w:styleId="1125">
    <w:name w:val="footnote text"/>
    <w:basedOn w:val="1106"/>
    <w:link w:val="1126"/>
    <w:uiPriority w:val="99"/>
    <w:semiHidden/>
    <w:unhideWhenUsed/>
    <w:pPr>
      <w:spacing w:before="0"/>
    </w:pPr>
    <w:rPr>
      <w:sz w:val="20"/>
      <w:szCs w:val="20"/>
    </w:rPr>
  </w:style>
  <w:style w:type="character" w:styleId="1126" w:customStyle="1">
    <w:name w:val="Текст сноски Знак"/>
    <w:basedOn w:val="1110"/>
    <w:link w:val="1125"/>
    <w:uiPriority w:val="99"/>
    <w:semiHidden/>
    <w:rPr>
      <w:sz w:val="20"/>
      <w:szCs w:val="20"/>
    </w:rPr>
  </w:style>
  <w:style w:type="character" w:styleId="1127">
    <w:name w:val="footnote reference"/>
    <w:basedOn w:val="1110"/>
    <w:unhideWhenUsed/>
    <w:rPr>
      <w:vertAlign w:val="superscript"/>
    </w:rPr>
  </w:style>
  <w:style w:type="paragraph" w:styleId="1128" w:customStyle="1">
    <w:name w:val="[РГ] Сноска"/>
    <w:basedOn w:val="1125"/>
    <w:qFormat/>
    <w:pPr>
      <w:ind w:left="567" w:hanging="567"/>
      <w:jc w:val="both"/>
      <w:spacing w:before="80"/>
    </w:pPr>
    <w:rPr>
      <w:sz w:val="22"/>
    </w:rPr>
  </w:style>
  <w:style w:type="character" w:styleId="1129">
    <w:name w:val="Hyperlink"/>
    <w:basedOn w:val="1110"/>
    <w:uiPriority w:val="99"/>
    <w:unhideWhenUsed/>
    <w:rPr>
      <w:color w:val="0563c1" w:themeColor="hyperlink"/>
      <w:u w:val="single"/>
    </w:rPr>
  </w:style>
  <w:style w:type="character" w:styleId="1130">
    <w:name w:val="Unresolved Mention"/>
    <w:basedOn w:val="1110"/>
    <w:uiPriority w:val="99"/>
    <w:semiHidden/>
    <w:unhideWhenUsed/>
    <w:rPr>
      <w:color w:val="605e5c"/>
      <w:shd w:val="clear" w:color="auto" w:fill="e1dfdd"/>
    </w:rPr>
  </w:style>
  <w:style w:type="paragraph" w:styleId="1131">
    <w:name w:val="toc 2"/>
    <w:basedOn w:val="1106"/>
    <w:next w:val="110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32">
    <w:name w:val="toc 1"/>
    <w:basedOn w:val="1106"/>
    <w:next w:val="110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3">
    <w:name w:val="toc 3"/>
    <w:basedOn w:val="1106"/>
    <w:next w:val="110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4"/>
    <w:basedOn w:val="1106"/>
    <w:next w:val="110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5"/>
    <w:basedOn w:val="1106"/>
    <w:next w:val="110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6"/>
    <w:basedOn w:val="1106"/>
    <w:next w:val="110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7">
    <w:name w:val="toc 7"/>
    <w:basedOn w:val="1106"/>
    <w:next w:val="110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8">
    <w:name w:val="toc 8"/>
    <w:basedOn w:val="1106"/>
    <w:next w:val="110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9">
    <w:name w:val="toc 9"/>
    <w:basedOn w:val="1106"/>
    <w:next w:val="110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40" w:customStyle="1">
    <w:name w:val="[РГ] Таблица"/>
    <w:basedOn w:val="111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41">
    <w:name w:val="Table Grid"/>
    <w:basedOn w:val="111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42">
    <w:name w:val="Placeholder Text"/>
    <w:basedOn w:val="1110"/>
    <w:uiPriority w:val="99"/>
    <w:semiHidden/>
    <w:rPr>
      <w:color w:val="808080"/>
    </w:rPr>
  </w:style>
  <w:style w:type="character" w:styleId="1143" w:customStyle="1">
    <w:name w:val="[РГ] Отсылка"/>
    <w:basedOn w:val="111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4">
    <w:name w:val="annotation reference"/>
    <w:basedOn w:val="1110"/>
    <w:uiPriority w:val="99"/>
    <w:unhideWhenUsed/>
    <w:rPr>
      <w:sz w:val="16"/>
      <w:szCs w:val="16"/>
    </w:rPr>
  </w:style>
  <w:style w:type="paragraph" w:styleId="1145">
    <w:name w:val="annotation text"/>
    <w:basedOn w:val="1106"/>
    <w:link w:val="1146"/>
    <w:uiPriority w:val="99"/>
    <w:unhideWhenUsed/>
    <w:rPr>
      <w:sz w:val="20"/>
      <w:szCs w:val="20"/>
    </w:rPr>
  </w:style>
  <w:style w:type="character" w:styleId="1146" w:customStyle="1">
    <w:name w:val="Текст примечания Знак"/>
    <w:basedOn w:val="1110"/>
    <w:link w:val="1145"/>
    <w:uiPriority w:val="99"/>
    <w:rPr>
      <w:sz w:val="20"/>
      <w:szCs w:val="20"/>
    </w:rPr>
  </w:style>
  <w:style w:type="paragraph" w:styleId="1147">
    <w:name w:val="annotation subject"/>
    <w:basedOn w:val="1145"/>
    <w:next w:val="1145"/>
    <w:link w:val="1148"/>
    <w:uiPriority w:val="99"/>
    <w:semiHidden/>
    <w:unhideWhenUsed/>
    <w:rPr>
      <w:b/>
      <w:bCs/>
    </w:rPr>
  </w:style>
  <w:style w:type="character" w:styleId="1148" w:customStyle="1">
    <w:name w:val="Тема примечания Знак"/>
    <w:basedOn w:val="1146"/>
    <w:link w:val="1147"/>
    <w:uiPriority w:val="99"/>
    <w:semiHidden/>
    <w:rPr>
      <w:b/>
      <w:bCs/>
      <w:sz w:val="20"/>
      <w:szCs w:val="20"/>
    </w:rPr>
  </w:style>
  <w:style w:type="paragraph" w:styleId="1149" w:customStyle="1">
    <w:name w:val="[РГ] Альтернатива / Дополнение"/>
    <w:basedOn w:val="1119"/>
    <w:next w:val="1119"/>
    <w:qFormat/>
    <w:rPr>
      <w:i/>
      <w:shd w:val="clear" w:color="auto" w:fill="ccecff"/>
    </w:rPr>
  </w:style>
  <w:style w:type="character" w:styleId="1150" w:customStyle="1">
    <w:name w:val="[РГ] Инструкция для участника"/>
    <w:basedOn w:val="111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51">
    <w:name w:val="Revision"/>
    <w:hidden/>
    <w:uiPriority w:val="99"/>
    <w:semiHidden/>
    <w:pPr>
      <w:spacing w:before="0"/>
    </w:pPr>
  </w:style>
  <w:style w:type="character" w:styleId="1152">
    <w:name w:val="FollowedHyperlink"/>
    <w:basedOn w:val="1110"/>
    <w:uiPriority w:val="99"/>
    <w:semiHidden/>
    <w:unhideWhenUsed/>
    <w:rPr>
      <w:color w:val="954f72" w:themeColor="followedHyperlink"/>
      <w:u w:val="single"/>
    </w:rPr>
  </w:style>
  <w:style w:type="paragraph" w:styleId="1153">
    <w:name w:val="List Paragraph"/>
    <w:basedOn w:val="1106"/>
    <w:uiPriority w:val="34"/>
    <w:qFormat/>
    <w:pPr>
      <w:contextualSpacing/>
      <w:ind w:left="720"/>
    </w:pPr>
  </w:style>
  <w:style w:type="paragraph" w:styleId="1154" w:customStyle="1">
    <w:name w:val="Пункт"/>
    <w:basedOn w:val="1106"/>
    <w:link w:val="115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5" w:customStyle="1">
    <w:name w:val="Пункт Знак2"/>
    <w:link w:val="1154"/>
    <w:rPr>
      <w:rFonts w:eastAsia="Times New Roman" w:cs="Times New Roman"/>
      <w:szCs w:val="26"/>
      <w:lang w:eastAsia="ru-RU"/>
    </w:rPr>
  </w:style>
  <w:style w:type="paragraph" w:styleId="1156" w:customStyle="1">
    <w:name w:val="Подпункт"/>
    <w:basedOn w:val="115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7" w:customStyle="1">
    <w:name w:val="Подподпункт"/>
    <w:basedOn w:val="115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8" w:customStyle="1">
    <w:name w:val="Заголовок 1 Знак"/>
    <w:basedOn w:val="1110"/>
    <w:link w:val="110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9" w:customStyle="1">
    <w:name w:val="Заголовок 2 Знак"/>
    <w:basedOn w:val="1110"/>
    <w:link w:val="1108"/>
    <w:rPr>
      <w:rFonts w:eastAsia="Times New Roman" w:cs="Times New Roman"/>
      <w:b/>
      <w:sz w:val="32"/>
      <w:szCs w:val="26"/>
      <w:lang w:eastAsia="ru-RU"/>
    </w:rPr>
  </w:style>
  <w:style w:type="character" w:styleId="1160" w:customStyle="1">
    <w:name w:val="Заголовок 3 Знак"/>
    <w:basedOn w:val="1110"/>
    <w:link w:val="110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61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62" w:customStyle="1">
    <w:name w:val="комментарий"/>
    <w:qFormat/>
    <w:rPr>
      <w:b/>
      <w:i/>
      <w:shd w:val="clear" w:color="auto" w:fill="ffff99"/>
    </w:rPr>
  </w:style>
  <w:style w:type="paragraph" w:styleId="1163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://www.roseltorg.ru/knowledge_db/docs/documents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fedyasheva-ig@dgk.ru" TargetMode="External"/><Relationship Id="rId16" Type="http://schemas.openxmlformats.org/officeDocument/2006/relationships/hyperlink" Target="mailto:fedyasheva-ig@dgk.ru" TargetMode="External"/><Relationship Id="rId17" Type="http://schemas.openxmlformats.org/officeDocument/2006/relationships/image" Target="media/image2.png"/><Relationship Id="rId18" Type="http://schemas.openxmlformats.org/officeDocument/2006/relationships/image" Target="media/media1.svg"/><Relationship Id="rId19" Type="http://schemas.openxmlformats.org/officeDocument/2006/relationships/image" Target="media/image3.png"/><Relationship Id="rId20" Type="http://schemas.openxmlformats.org/officeDocument/2006/relationships/image" Target="media/media2.svg"/><Relationship Id="rId21" Type="http://schemas.openxmlformats.org/officeDocument/2006/relationships/image" Target="media/image4.png"/><Relationship Id="rId22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177</cp:revision>
  <dcterms:created xsi:type="dcterms:W3CDTF">2023-08-16T07:54:00Z</dcterms:created>
  <dcterms:modified xsi:type="dcterms:W3CDTF">2026-03-05T00:32:37Z</dcterms:modified>
</cp:coreProperties>
</file>